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Sekcje 6.2, 6.3 i 6.4: zasoby, WNiP i podwykonawca montażu</w:t>
      </w:r>
    </w:p>
    <w:p>
      <w:r>
        <w:rPr>
          <w:b w:val="0"/>
        </w:rPr>
        <w:t>Wniosek FENG.01.01-IP.01-A1RR/26, CargoDT. Pakiet WP06, część 2 (uwagi K5-12 do K5-19). Teksty są gotowe do wklejenia. Na żółto zaznaczono tylko dane, które musi wpisać Everest11 lub PRz (wykaz w części 6).</w:t>
      </w:r>
    </w:p>
    <w:p>
      <w:pPr>
        <w:pStyle w:val="Heading1"/>
      </w:pPr>
      <w:r>
        <w:t>1. Co poprawiono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K5-12 flota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Pozycja floty testowej: 5 ciągników siodłowych z naczepami, umowa partnerska z Natanek Logistics od 03.2025, prawo do danych, brak kosztów w projekcie, mechanizm montażu (nieinwazyjny, odwracalny, bez zmiany homologacji, zasilanie 12 i 24 V, potwierdzenie przed testami), zestawy tylko do prac B+R.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K5-13 prawa do danych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Nowa pozycja w 6.3: zakres danych, dysponent (Everest11), dostęp PRz na podstawie umowy konsorcjum, pseudonimizacja, poufność, okres.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K5-14 zasoby techniczne Everest11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Pozycja o wyposażeniu komputerowym, chmurze i środowiskach deweloperskich oraz pozycja o systemie TMS i API w 6.3. Dane do uzupełnienia przez Everest11.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K5-15 biuro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Adres, tytuł prawny (najem na czas nieokreślony), powierzchnia, przeznaczenie. Brakuje liczby stanowisk.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K5-16 infrastruktura PRz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Trzy nowe pozycje: EMC, system fotogrametryczny, zasoby GPU, z przypisaniem do zadań.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K5-17, K5-18 WNiP i dokumenty IP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Pozycje w 6.3: TMS i API, prawo do danych, licencje oprogramowania, know-how. Dokumentów źródłowych nie załączamy (decyzja D10), a ich treść opisujemy w tekście.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K5-19 podwykonawca montażu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8"/>
              </w:rPr>
              <w:t>Warunki minimalne: liczba osób, doświadczenie i sposób potwierdzenia, znaczenie wymogu „bez naruszenia homologacji” i sposób jego weryfikacji, ADR, wyposażenie warsztatu.</w:t>
            </w:r>
          </w:p>
        </w:tc>
      </w:tr>
    </w:tbl>
    <w:p/>
    <w:p>
      <w:pPr>
        <w:pStyle w:val="Heading1"/>
      </w:pPr>
      <w:r>
        <w:t>2. Pkt 6.2: PRz, nowe pozycje (do istniejących)</w:t>
      </w:r>
    </w:p>
    <w:p>
      <w:pPr>
        <w:spacing w:after="60"/>
      </w:pPr>
      <w:r>
        <w:rPr>
          <w:b w:val="0"/>
        </w:rPr>
        <w:t>Istniejące pozycje PRz (termobarokomora, wstrząsarka, komora klimatyczna Memmert, platformy edge AI, laboratorium) zostają bez zmian. W pozycji „Laboratorium” dopisać na końcu: „oraz stanowisko do badań EMC, system pomiarów fotogrametrycznych i zasoby obliczeniowe GPU”.</w:t>
      </w:r>
    </w:p>
    <w:p>
      <w:pPr>
        <w:pStyle w:val="Heading3"/>
      </w:pPr>
      <w:r>
        <w:t>PRz, pozycja 1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[260 znaków]</w:t>
      </w:r>
    </w:p>
    <w:p>
      <w:pPr>
        <w:spacing w:after="60"/>
      </w:pPr>
      <w:r>
        <w:rPr>
          <w:b w:val="0"/>
        </w:rPr>
        <w:t xml:space="preserve">Stanowisko do badań kompatybilności elektromagnetycznej (EMC) w laboratorium PRz (1 zestaw): pomiary emisji i odporności urządzeń elektronicznych </w:t>
      </w:r>
      <w:r>
        <w:rPr>
          <w:b w:val="0"/>
          <w:highlight w:val="yellow"/>
        </w:rPr>
        <w:t>model i zakresy badań z karty aparatury PRz</w:t>
      </w:r>
      <w:r>
        <w:rPr>
          <w:b w:val="0"/>
        </w:rPr>
        <w:t>. Zasób w dyspozycji PRz, dostępny w okresie realizacji zadań projektu.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[267 znaków]</w:t>
      </w:r>
    </w:p>
    <w:p>
      <w:pPr>
        <w:spacing w:after="60"/>
      </w:pPr>
      <w:r>
        <w:rPr>
          <w:b w:val="0"/>
        </w:rPr>
        <w:t>Badania EMC platformy embedded i toru sensorycznego w zadaniu Z7 oraz weryfikacja ekranowania toru pomiarowego z zadania Z2 pod kątem artefaktów od metalowych ścian i zasilania pojazdu. Zasób udostępniany w ramach konsorcjum, bez kosztów kwalifikowalnych w projekcie.</w:t>
      </w:r>
    </w:p>
    <w:p>
      <w:pPr>
        <w:pStyle w:val="Heading3"/>
      </w:pPr>
      <w:r>
        <w:t>PRz, pozycja 2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[204 znaków]</w:t>
      </w:r>
    </w:p>
    <w:p>
      <w:pPr>
        <w:spacing w:after="60"/>
      </w:pPr>
      <w:r>
        <w:rPr>
          <w:b w:val="0"/>
        </w:rPr>
        <w:t xml:space="preserve">System do pomiarów fotogrametrycznych PRz (1 zestaw): referencyjny pomiar położenia i przemieszczeń ładunku w przestrzeni 3D </w:t>
      </w:r>
      <w:r>
        <w:rPr>
          <w:b w:val="0"/>
          <w:highlight w:val="yellow"/>
        </w:rPr>
        <w:t>typ systemu i niepewność pomiaru z karty aparatury PRz</w:t>
      </w:r>
      <w:r>
        <w:rPr>
          <w:b w:val="0"/>
        </w:rPr>
        <w:t>. Zasób w dyspozycji PRz.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[248 znaków]</w:t>
      </w:r>
    </w:p>
    <w:p>
      <w:pPr>
        <w:spacing w:after="60"/>
      </w:pPr>
      <w:r>
        <w:rPr>
          <w:b w:val="0"/>
        </w:rPr>
        <w:t>Referencja położenia ładunku do pomiaru błędu pozycji i przemieszczenia względnego na rigu wibracyjnym (Z5, co najmniej 100 sekwencji) oraz do weryfikacji fotogrametrycznej w testach terenowych (Z9, co najmniej 1000 pomiarów) według ścieżki audytu.</w:t>
      </w:r>
    </w:p>
    <w:p>
      <w:pPr>
        <w:pStyle w:val="Heading3"/>
      </w:pPr>
      <w:r>
        <w:t>PRz, pozycja 3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[221 znaków]</w:t>
      </w:r>
    </w:p>
    <w:p>
      <w:pPr>
        <w:spacing w:after="60"/>
      </w:pPr>
      <w:r>
        <w:rPr>
          <w:b w:val="0"/>
        </w:rPr>
        <w:t xml:space="preserve">Zasoby obliczeniowe PRz do trenowania i walidacji modeli ML i CV: serwery lub stacje robocze z procesorami graficznymi </w:t>
      </w:r>
      <w:r>
        <w:rPr>
          <w:b w:val="0"/>
          <w:highlight w:val="yellow"/>
        </w:rPr>
        <w:t>liczba i typ GPU, pamięć</w:t>
      </w:r>
      <w:r>
        <w:rPr>
          <w:b w:val="0"/>
        </w:rPr>
        <w:t>. Zasób w dyspozycji PRz, dostępny w okresie realizacji zadań Z3, Z4, Z5 i Z8.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[239 znaków]</w:t>
      </w:r>
    </w:p>
    <w:p>
      <w:pPr>
        <w:spacing w:after="60"/>
      </w:pPr>
      <w:r>
        <w:rPr>
          <w:b w:val="0"/>
        </w:rPr>
        <w:t>Trening, strojenie i walidacja modeli predykcji ryzyka (Z4) i modeli CV (Z8), badania architektur (Z3) oraz przetwarzanie sekwencji z fuzji 3D (Z5). Zasoby wystarczają dla zbioru co najmniej 15 000 klatek i 500 godzin danych sensorycznych.</w:t>
      </w:r>
    </w:p>
    <w:p>
      <w:pPr>
        <w:pStyle w:val="Heading1"/>
      </w:pPr>
      <w:r>
        <w:t>3. Pkt 6.2: Everest11, pozycje do wpisania w miejsce istniejących</w:t>
      </w:r>
    </w:p>
    <w:p>
      <w:pPr>
        <w:spacing w:after="60"/>
      </w:pPr>
      <w:r>
        <w:rPr>
          <w:b w:val="0"/>
        </w:rPr>
        <w:t>Pozycja „Flota testowa” zastępuje obecną (która mówiła o zasobie „w posiadaniu Lidera”), pozycja „Biuro” zastępuje obecną, a trzecia jest nowa.</w:t>
      </w:r>
    </w:p>
    <w:p>
      <w:pPr>
        <w:pStyle w:val="Heading3"/>
      </w:pPr>
      <w:r>
        <w:t>Biuro i zaplecze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[301 znaków]</w:t>
      </w:r>
    </w:p>
    <w:p>
      <w:pPr>
        <w:spacing w:after="60"/>
      </w:pPr>
      <w:r>
        <w:rPr>
          <w:b w:val="0"/>
        </w:rPr>
        <w:t xml:space="preserve">Biuro i zaplecze operacyjne Everest11 w Warszawie, ul. Książkowa 51F, 03-134 Warszawa: w pełni wyposażona powierzchnia biurowa ok. 60 m2 na podstawie umowy najmu zawartej na czas nieokreślony, </w:t>
      </w:r>
      <w:r>
        <w:rPr>
          <w:b w:val="0"/>
          <w:highlight w:val="yellow"/>
        </w:rPr>
        <w:t>liczba stanowisk pracy</w:t>
      </w:r>
      <w:r>
        <w:rPr>
          <w:b w:val="0"/>
        </w:rPr>
        <w:t xml:space="preserve"> stanowisk. Zasób wystarcza dla zespołu projektu pracującego stacjonarnie i hybrydowo.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[231 znaków]</w:t>
      </w:r>
    </w:p>
    <w:p>
      <w:pPr>
        <w:spacing w:after="60"/>
      </w:pPr>
      <w:r>
        <w:rPr>
          <w:b w:val="0"/>
        </w:rPr>
        <w:t>Zaplecze prac integracyjnych IT (Z2, Z6, Z7), koordynacji i zarządzania projektem po stronie Lidera oraz planowania kampanii akwizycji (Z2) i walidacji terenowej (Z9), a także współpracy z partnerem testowym i podwykonawcą montażu.</w:t>
      </w:r>
    </w:p>
    <w:p>
      <w:pPr>
        <w:pStyle w:val="Heading3"/>
      </w:pPr>
      <w:r>
        <w:t>Flota testowa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[380 znaków]</w:t>
      </w:r>
    </w:p>
    <w:p>
      <w:pPr>
        <w:spacing w:after="60"/>
      </w:pPr>
      <w:r>
        <w:rPr>
          <w:b w:val="0"/>
        </w:rPr>
        <w:t>Flota testowa: 5 ciągników siodłowych z naczepami, udostępnionych Everest11 na podstawie umowy partnerskiej z Natanek Logistics obowiązującej od marca 2025 r. Umowa obejmuje prawo do danych z pojazdów. Pojazdy w rzeczywistej eksploatacji (trasy krajowe i międzynarodowe, różne nawierzchnie, sezony i klasy ładunku). Udostępnienie nie generuje kosztów kwalifikowalnych w projekcie.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[494 znaków]</w:t>
      </w:r>
    </w:p>
    <w:p>
      <w:pPr>
        <w:spacing w:after="60"/>
      </w:pPr>
      <w:r>
        <w:rPr>
          <w:b w:val="0"/>
        </w:rPr>
        <w:t>Z2: montaż toru pomiarowego na co najmniej 3 pojazdach i rejestracja danych in-transit (badania przemysłowe). Z9: walidacja terenowa zestawów na co najmniej 3 pojazdach (prace rozwojowe). Montaż nieinwazyjny i odwracalny: bez ingerencji w układy pojazdu i bez zmiany homologacji, zasilanie z instalacji 12 i 24 V przez zabezpieczony obwód, demontaż po kampanii. Przed testami właściciel pojazdów i warsztat potwierdzają na piśmie brak naruszenia homologacji. Zestawy służą wyłącznie pracom B+R.</w:t>
      </w:r>
    </w:p>
    <w:p>
      <w:pPr>
        <w:pStyle w:val="Heading3"/>
      </w:pPr>
      <w:r>
        <w:t>Wyposażenie IT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[297 znaków]</w:t>
      </w:r>
    </w:p>
    <w:p>
      <w:pPr>
        <w:spacing w:after="60"/>
      </w:pPr>
      <w:r>
        <w:rPr>
          <w:b w:val="0"/>
        </w:rPr>
        <w:t xml:space="preserve">Wyposażenie komputerowe i środowisko IT zespołu projektu Everest11: </w:t>
      </w:r>
      <w:r>
        <w:rPr>
          <w:b w:val="0"/>
          <w:highlight w:val="yellow"/>
        </w:rPr>
        <w:t>liczba stanowisk komputerowych i kto je zapewnia</w:t>
      </w:r>
      <w:r>
        <w:rPr>
          <w:b w:val="0"/>
        </w:rPr>
        <w:t xml:space="preserve">, środowisko chmurowe AWS lub Azure, repozytoria kodu i środowiska deweloperskie </w:t>
      </w:r>
      <w:r>
        <w:rPr>
          <w:b w:val="0"/>
          <w:highlight w:val="yellow"/>
        </w:rPr>
        <w:t>nazwa narzędzi, własne lub wynajęte</w:t>
      </w:r>
      <w:r>
        <w:rPr>
          <w:b w:val="0"/>
        </w:rPr>
        <w:t>. Zasoby pozostają w dyspozycji Everest11 poza kosztami projektu.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[289 znaków]</w:t>
      </w:r>
    </w:p>
    <w:p>
      <w:pPr>
        <w:spacing w:after="60"/>
      </w:pPr>
      <w:r>
        <w:rPr>
          <w:b w:val="0"/>
        </w:rPr>
        <w:t>Środowiska deweloperskie i testowe dla zadań Z2 (potok akwizycji i repozytorium zbioru), Z6 (pipeline PoL i PoC, API, eFTI), Z7 (testy platformy embedded) i Z9 (monitoring systemu w terenie). Zasoby chmurowe i repozytoria zapewniają wersjonowanie kodu i zbioru oraz ciągłość pracy zespołu.</w:t>
      </w:r>
    </w:p>
    <w:p>
      <w:pPr>
        <w:pStyle w:val="Heading1"/>
      </w:pPr>
      <w:r>
        <w:t>4. Pkt 6.3: wartości niematerialne i prawne Everest11</w:t>
      </w:r>
    </w:p>
    <w:p>
      <w:pPr>
        <w:spacing w:after="60"/>
      </w:pPr>
      <w:r>
        <w:rPr>
          <w:b w:val="0"/>
        </w:rPr>
        <w:t>Obecnie pole zawiera „Brak wyników”. Dodać cztery pozycje (typ zasobu wybieramy z listy, odpowiednio: prawa autorskie i licencje, dane, know-how).</w:t>
      </w:r>
    </w:p>
    <w:p>
      <w:pPr>
        <w:pStyle w:val="Heading3"/>
      </w:pPr>
      <w:r>
        <w:t>TMS i API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[200 znaków]</w:t>
      </w:r>
    </w:p>
    <w:p>
      <w:pPr>
        <w:spacing w:after="60"/>
      </w:pPr>
      <w:r>
        <w:rPr>
          <w:b w:val="0"/>
        </w:rPr>
        <w:t xml:space="preserve">System TMS Everest11 wraz z API integracji z Trans.eu i TimoCom: </w:t>
      </w:r>
      <w:r>
        <w:rPr>
          <w:b w:val="0"/>
          <w:highlight w:val="yellow"/>
        </w:rPr>
        <w:t>potwierdzić: prawa autorskie do TMS i API należą do Everest11; wskazać licencje komponentów zewnętrznych</w:t>
      </w:r>
      <w:r>
        <w:rPr>
          <w:b w:val="0"/>
        </w:rPr>
        <w:t>. Zasób w dyspozycji Everest11.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[211 znaków]</w:t>
      </w:r>
    </w:p>
    <w:p>
      <w:pPr>
        <w:spacing w:after="60"/>
      </w:pPr>
      <w:r>
        <w:rPr>
          <w:b w:val="0"/>
        </w:rPr>
        <w:t>Platforma integracji CargoDT w zadaniu Z6: dwukierunkowe API TMS z urządzeniem embedded, generowanie i wymiana dokumentów PoL, PoC i eFTI w środowisku testowym oraz pomiar opóźnienia przesłania zdarzenia do TMS.</w:t>
      </w:r>
    </w:p>
    <w:p>
      <w:pPr>
        <w:pStyle w:val="Heading3"/>
      </w:pPr>
      <w:r>
        <w:t>Prawo do danych z floty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[492 znaków]</w:t>
      </w:r>
    </w:p>
    <w:p>
      <w:pPr>
        <w:spacing w:after="60"/>
      </w:pPr>
      <w:r>
        <w:rPr>
          <w:b w:val="0"/>
        </w:rPr>
        <w:t>Prawo do danych z pojazdów floty testowej (5 ciągników siodłowych z naczepami) na podstawie umowy partnerskiej z Natanek Logistics od marca 2025 r.: dane sensoryczne zestawu CargoDT, dane eksploatacyjne (trasy, czasy, lokalizacja), obrazy wnętrza naczepy, klasy ładunku i dokumentacja inspekcji. Dysponentem danych projektu jest Everest11, a PRz otrzymuje zbiór do zadań Z1, Z3, Z4, Z5 i Z8 na podstawie umowy konsorcjum. Dane o ładunku są pseudonimizowane, bez identyfikacji klientów i osób.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[319 znaków]</w:t>
      </w:r>
    </w:p>
    <w:p>
      <w:pPr>
        <w:spacing w:after="60"/>
      </w:pPr>
      <w:r>
        <w:rPr>
          <w:b w:val="0"/>
        </w:rPr>
        <w:t>Zbiór treningowy i testowy dla modeli ML i CV (Z4, Z8), walidacja metryk (Z5, Z9) i ground truth. Prawo obejmuje cały okres akwizycji w Z2 i walidacji terenowej w Z9. Dostęp do zbioru mają wyłącznie osoby projektu na podstawie umowy o poufności; Natanek Logistics nie ma dostępu do zbioru, modeli ani wyników walidacji.</w:t>
      </w:r>
    </w:p>
    <w:p>
      <w:pPr>
        <w:pStyle w:val="Heading3"/>
      </w:pPr>
      <w:r>
        <w:t>Licencje oprogramowania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[227 znaków]</w:t>
      </w:r>
    </w:p>
    <w:p>
      <w:pPr>
        <w:spacing w:after="60"/>
      </w:pPr>
      <w:r>
        <w:rPr>
          <w:b w:val="0"/>
        </w:rPr>
        <w:t xml:space="preserve">Licencje oprogramowania narzędziowego Everest11: </w:t>
      </w:r>
      <w:r>
        <w:rPr>
          <w:b w:val="0"/>
          <w:highlight w:val="yellow"/>
        </w:rPr>
        <w:t>wykaz licencji komercyjnych, np. środowiska deweloperskie, narzędzia anotacji, oprogramowanie sterujące kamer; biblioteki ML i CV na licencjach otwartych Apache-2.0, BSD lub MIT</w:t>
      </w:r>
      <w:r>
        <w:rPr>
          <w:b w:val="0"/>
        </w:rPr>
        <w:t>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[229 znaków]</w:t>
      </w:r>
    </w:p>
    <w:p>
      <w:pPr>
        <w:spacing w:after="60"/>
      </w:pPr>
      <w:r>
        <w:rPr>
          <w:b w:val="0"/>
        </w:rPr>
        <w:t>Praca zespołu w zadaniach Z2, Z6, Z7 i Z9: anotacja zbioru, kalibracja kamer, implementacja pipeline’u i kompresja modeli. Wybór bibliotek uwzględnia licencje pozwalające na użycie komercyjne w zamkniętym oprogramowaniu embedded.</w:t>
      </w:r>
    </w:p>
    <w:p>
      <w:pPr>
        <w:pStyle w:val="Heading3"/>
      </w:pPr>
      <w:r>
        <w:t>Know-how</w:t>
      </w:r>
    </w:p>
    <w:p>
      <w:pPr>
        <w:keepNext/>
        <w:spacing w:before="160" w:after="40"/>
      </w:pPr>
      <w:r>
        <w:rPr>
          <w:b/>
          <w:sz w:val="20"/>
        </w:rPr>
        <w:t>Nazwa zasobu (limit 500)</w:t>
      </w:r>
      <w:r>
        <w:rPr>
          <w:color w:val="666666"/>
          <w:sz w:val="17"/>
        </w:rPr>
        <w:t xml:space="preserve"> [148 znaków]</w:t>
      </w:r>
    </w:p>
    <w:p>
      <w:pPr>
        <w:spacing w:after="60"/>
      </w:pPr>
      <w:r>
        <w:rPr>
          <w:b w:val="0"/>
        </w:rPr>
        <w:t>Know-how Everest11 w zakresie procesów transportowych, dokumentacji przewozowej (CMR, e-CMR) i systemów TMS, zgromadzone w działalności spedycyjnej.</w:t>
      </w:r>
    </w:p>
    <w:p>
      <w:pPr>
        <w:keepNext/>
        <w:spacing w:before="160" w:after="40"/>
      </w:pPr>
      <w:r>
        <w:rPr>
          <w:b/>
          <w:sz w:val="20"/>
        </w:rPr>
        <w:t>Przeznaczenie (limit 500)</w:t>
      </w:r>
      <w:r>
        <w:rPr>
          <w:color w:val="666666"/>
          <w:sz w:val="17"/>
        </w:rPr>
        <w:t xml:space="preserve"> [191 znaków]</w:t>
      </w:r>
    </w:p>
    <w:p>
      <w:pPr>
        <w:spacing w:after="60"/>
      </w:pPr>
      <w:r>
        <w:rPr>
          <w:b w:val="0"/>
        </w:rPr>
        <w:t>Definiowanie scenariuszy przewozowych i protokołu inspekcji ground truth, ocena trafności alertów z perspektywy operacyjnej i badanie akceptacji z kierowcami i dyspozytorami (Z2, Z6, Z7, Z9).</w:t>
      </w:r>
    </w:p>
    <w:p>
      <w:pPr>
        <w:pStyle w:val="Heading1"/>
      </w:pPr>
      <w:r>
        <w:t>5. Pkt 6.4: podwykonawca montażu (Everest11), pola do zastąpienia</w:t>
      </w:r>
    </w:p>
    <w:p>
      <w:pPr>
        <w:pStyle w:val="Heading3"/>
      </w:pPr>
      <w:r>
        <w:t>Zasoby podwykonawcy: kadrowe (limit 4 000)</w:t>
      </w:r>
    </w:p>
    <w:p>
      <w:pPr>
        <w:keepNext/>
        <w:spacing w:before="160" w:after="40"/>
      </w:pPr>
      <w:r>
        <w:rPr>
          <w:b/>
          <w:sz w:val="20"/>
        </w:rPr>
        <w:t>Kadrowe</w:t>
      </w:r>
      <w:r>
        <w:rPr>
          <w:color w:val="666666"/>
          <w:sz w:val="17"/>
        </w:rPr>
        <w:t xml:space="preserve"> [1844 znaków]</w:t>
      </w:r>
    </w:p>
    <w:p>
      <w:pPr>
        <w:spacing w:after="60"/>
      </w:pPr>
      <w:r>
        <w:rPr>
          <w:b w:val="0"/>
        </w:rPr>
        <w:t>Warunki minimalne wobec kadry potencjalnego podwykonawcy, obowiązujące przy wyborze najkorzystniejszej oferty:</w:t>
      </w:r>
    </w:p>
    <w:p>
      <w:pPr>
        <w:spacing w:after="60"/>
      </w:pPr>
      <w:r>
        <w:rPr>
          <w:b w:val="0"/>
        </w:rPr>
        <w:t>1) Co najmniej 2 monterów lub mechaników zatrudnionych lub współpracujących z podwykonawcą, dostępnych w terminach harmonogramu Z2 i Z9, z udokumentowanym doświadczeniem w montażu wyposażenia elektronicznego i elektrycznego (telematyka, kamery, czujniki, okablowanie 12 i 24 V) w pojazdach ciężarowych, ciągnikach siodłowych i naczepach.</w:t>
      </w:r>
    </w:p>
    <w:p>
      <w:pPr>
        <w:spacing w:after="60"/>
      </w:pPr>
      <w:r>
        <w:rPr>
          <w:b w:val="0"/>
        </w:rPr>
        <w:t>2) Co najmniej 3 zrealizowane montaże takiego wyposażenia w pojazdach ciężarowych w ostatnich 3 latach, potwierdzone referencjami lub protokołami montażu.</w:t>
      </w:r>
    </w:p>
    <w:p>
      <w:pPr>
        <w:spacing w:after="60"/>
      </w:pPr>
      <w:r>
        <w:rPr>
          <w:b w:val="0"/>
        </w:rPr>
        <w:t>3) Uprawnienia i zaplecze do montażu bez naruszenia homologacji: podwykonawca prowadzi warsztat lub stację obsługi pojazdów ciężarowych, wykonuje montaż wyposażenia dodatkowego bez zmian w konstrukcji nośnej, układach hamulcowym, zawieszenia, oświetlenia i elektrycznych obwodach bezpieczeństwa oraz wystawia protokół montażu potwierdzający, że instalacja nie ingeruje w układy pojazdu i nie wymaga nowej homologacji ani badania technicznego. Wymóg weryfikujemy oświadczeniem podwykonawcy, wykazem realizacji z referencjami i protokołem próbnego montażu na jednym pojeździe przed kampanią.</w:t>
      </w:r>
    </w:p>
    <w:p>
      <w:pPr>
        <w:spacing w:after="60"/>
      </w:pPr>
      <w:r>
        <w:rPr>
          <w:b w:val="0"/>
        </w:rPr>
        <w:t>4) Znajomość wymagań ADR dla instalacji elektrycznych w pojazdach, jeśli pojazd jest dopuszczony do przewozu ADR, potwierdzona oświadczeniem i wykazem realizacji na takich pojazdach.</w:t>
      </w:r>
    </w:p>
    <w:p>
      <w:pPr>
        <w:spacing w:after="60"/>
      </w:pPr>
      <w:r>
        <w:rPr>
          <w:b w:val="0"/>
        </w:rPr>
        <w:t>5) Doświadczenie w prowadzeniu okablowania odpornego na drgania i integracji zasilania pokładowego 12 i 24 V z zabezpieczeniem obwodu.</w:t>
      </w:r>
    </w:p>
    <w:p>
      <w:pPr>
        <w:spacing w:after="60"/>
      </w:pPr>
      <w:r>
        <w:rPr>
          <w:b w:val="0"/>
        </w:rPr>
        <w:t>6) Zdolność montażu jednego pojazdu w ciągu jednego dnia roboczego i wykonania prac na co najmniej 3 pojazdach w terminach z harmonogramu.</w:t>
      </w:r>
    </w:p>
    <w:p>
      <w:pPr>
        <w:spacing w:after="60"/>
      </w:pPr>
      <w:r>
        <w:rPr>
          <w:b w:val="0"/>
        </w:rPr>
        <w:t>Kadra B+R Lidera (IoT Specialist) odpowiada za projekt techniczny, konfigurację, kalibrację i odbiór. Po stronie podwykonawcy wymagana jest wyłącznie kadra montażowa o powyższych kompetencjach.</w:t>
      </w:r>
    </w:p>
    <w:p>
      <w:pPr>
        <w:pStyle w:val="Heading3"/>
      </w:pPr>
      <w:r>
        <w:t>Aparatura (limit 500)</w:t>
      </w:r>
    </w:p>
    <w:p>
      <w:pPr>
        <w:keepNext/>
        <w:spacing w:before="160" w:after="40"/>
      </w:pPr>
      <w:r>
        <w:rPr>
          <w:b/>
          <w:sz w:val="20"/>
        </w:rPr>
        <w:t>Aparatura</w:t>
      </w:r>
      <w:r>
        <w:rPr>
          <w:color w:val="666666"/>
          <w:sz w:val="17"/>
        </w:rPr>
        <w:t xml:space="preserve"> [310 znaków]</w:t>
      </w:r>
    </w:p>
    <w:p>
      <w:pPr>
        <w:spacing w:after="60"/>
      </w:pPr>
      <w:r>
        <w:rPr>
          <w:b w:val="0"/>
        </w:rPr>
        <w:t>Wyposażenie warsztatowe do zabudowy na pojazdach ciężarowych: podnośnik lub kanał przeglądowy dla ciągników siodłowych i naczep, stanowisko do prac na wysokości, narzędzia montażowe i elektromonterskie, zaciskarki, mierniki napięcia, prądu i rezystancji, materiały montażowe i zabezpieczenia obwodów 12 i 24 V.</w:t>
      </w:r>
    </w:p>
    <w:p>
      <w:pPr>
        <w:pStyle w:val="Heading3"/>
      </w:pPr>
      <w:r>
        <w:t>Infrastruktura (limit 500)</w:t>
      </w:r>
    </w:p>
    <w:p>
      <w:pPr>
        <w:keepNext/>
        <w:spacing w:before="160" w:after="40"/>
      </w:pPr>
      <w:r>
        <w:rPr>
          <w:b/>
          <w:sz w:val="20"/>
        </w:rPr>
        <w:t>Infrastruktura</w:t>
      </w:r>
      <w:r>
        <w:rPr>
          <w:color w:val="666666"/>
          <w:sz w:val="17"/>
        </w:rPr>
        <w:t xml:space="preserve"> [324 znaków]</w:t>
      </w:r>
    </w:p>
    <w:p>
      <w:pPr>
        <w:spacing w:after="60"/>
      </w:pPr>
      <w:r>
        <w:rPr>
          <w:b w:val="0"/>
        </w:rPr>
        <w:t>Warsztat lub stacja obsługi pojazdów ciężarowych z halą o wysokości i długości umożliwiającej pracę przy ciągniku siodłowym z naczepą, stanowiskiem montażowym dla co najmniej jednego pojazdu jednocześnie i dostępem do zasilania warsztatowego. Lokalizacja w Polsce, w odległości umożliwiającej dojazd pojazdów floty testowej.</w:t>
      </w:r>
    </w:p>
    <w:p>
      <w:pPr>
        <w:spacing w:after="60"/>
      </w:pPr>
      <w:r>
        <w:rPr>
          <w:b w:val="0"/>
        </w:rPr>
        <w:t>Pozostałe pola 6.4 (zakres prac, rola, przeznaczenie) zostają. Warunek „bez naruszenia homologacji” oznacza montaż wyposażenia dodatkowego bez zmian w konstrukcji nośnej, układach hamulcowym i zawieszenia, oświetleniu i elektrycznych obwodach bezpieczeństwa, bez nowej homologacji i bez nowego badania technicznego pojazdu. Weryfikacja: oświadczenie, wykaz realizacji z referencjami i protokół próbnego montażu.</w:t>
      </w:r>
    </w:p>
    <w:p>
      <w:pPr>
        <w:pStyle w:val="Heading1"/>
      </w:pPr>
      <w:r>
        <w:t>6. Do uzupełnienia (żółte pola)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Pole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Kto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Co wpisać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6.2 PRz, EMC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Model i zakresy badań z karty aparatury.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6.2 PRz, fotogrametria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Typ systemu i niepewność pomiaru.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6.2 PRz, GPU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Liczba i typ GPU, pamięć.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6.2 Everest11, biuro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Liczba stanowisk pracy.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6.2 Everest11, IT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Liczba stanowisk komputerowych i kto je zapewnia; narzędzia i repozytoria (własne czy wynajęte).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6.3, TMS i API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Potwierdzenie, że prawa autorskie należą do Everest11, oraz licencje komponentów zewnętrznych.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6.3, licencje oprogramowania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Wykaz licencji komercyjnych i narzędzi.</w:t>
            </w:r>
          </w:p>
        </w:tc>
      </w:tr>
    </w:tbl>
    <w:p/>
    <w:p>
      <w:pPr>
        <w:pStyle w:val="Heading1"/>
      </w:pPr>
      <w:r>
        <w:t>7. Powiązane zmiany i ryzyka</w:t>
      </w:r>
    </w:p>
    <w:p>
      <w:pPr>
        <w:pStyle w:val="ListBullet"/>
      </w:pPr>
      <w:r>
        <w:rPr>
          <w:b/>
        </w:rPr>
        <w:t>Pkt 6.2, pozycja floty w obecnym wniosku:</w:t>
      </w:r>
      <w:r>
        <w:rPr>
          <w:b w:val="0"/>
        </w:rPr>
        <w:t xml:space="preserve"> zdanie „Zasób w posiadaniu Lidera” usunąć. Pojazdy udostępnia Natanek Logistics.</w:t>
      </w:r>
    </w:p>
    <w:p>
      <w:pPr>
        <w:pStyle w:val="ListBullet"/>
      </w:pPr>
      <w:r>
        <w:rPr>
          <w:b/>
        </w:rPr>
        <w:t>Decyzja D10 (flota własna Everest11 w najmie):</w:t>
      </w:r>
      <w:r>
        <w:rPr>
          <w:b w:val="0"/>
        </w:rPr>
        <w:t xml:space="preserve"> zastąpiona ustaleniem z 02.10.2026: 5 ciągników z naczepami, umowa partnerska z Natanek od 03.2025 z prawem do danych. Teksty pkt 2.3, 2.5 i 1.3 nie mówią o pojazdach własnych.</w:t>
      </w:r>
    </w:p>
    <w:p>
      <w:pPr>
        <w:pStyle w:val="ListBullet"/>
      </w:pPr>
      <w:r>
        <w:rPr>
          <w:b/>
        </w:rPr>
        <w:t>Infrastruktura PRz w zadaniu Z7 (Everest11):</w:t>
      </w:r>
      <w:r>
        <w:rPr>
          <w:b w:val="0"/>
        </w:rPr>
        <w:t xml:space="preserve"> wniosek mówi o testach Z7 na infrastrukturze PRz „udostępnionej w ramach konsorcjum”. Instrukcja zabrania świadczenia usług między członkami konsorcjum. Ryzyko jest ograniczone, bo udostępnienie nie ma kosztów w projekcie, a PRz wykonuje własne zadania. Warto mieć pisemne ustalenie PRz o udostępnieniu infrastruktury bez odpłatności.</w:t>
      </w:r>
    </w:p>
    <w:p>
      <w:pPr>
        <w:pStyle w:val="ListBullet"/>
      </w:pPr>
      <w:r>
        <w:rPr>
          <w:b/>
        </w:rPr>
        <w:t>Okres umowy z Natanek:</w:t>
      </w:r>
      <w:r>
        <w:rPr>
          <w:b w:val="0"/>
        </w:rPr>
        <w:t xml:space="preserve"> tekst zakłada, że umowa partnerska obejmuje cały okres realizacji projektu i prawo do danych w Z2 i Z9.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