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[3876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 dlatego rozwiązanie problemu wymaga badań własnych.</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błąd pozycji ładunku nie przekracza 0,30 m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[923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[852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Decyzję o dalszym przebiegu podejmuje komitet sterujący: kierownik zarządzający Maciej Chrzanowski (przewodniczący), kierownik B+R i przedstawiciel PRz.</w:t>
      </w:r>
    </w:p>
    <w:p>
      <w:pPr>
        <w:keepNext/>
        <w:spacing w:before="160" w:after="40"/>
      </w:pPr>
      <w:r>
        <w:rPr>
          <w:b/>
          <w:sz w:val="20"/>
        </w:rPr>
        <w:t>Opis wpływu nieosiągnięcia kamienia milowego na realizację projektu</w:t>
      </w:r>
      <w:r>
        <w:rPr>
          <w:color w:val="666666"/>
          <w:sz w:val="17"/>
        </w:rPr>
        <w:t xml:space="preserve"> [876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O zmianie architektury sensorycznej (na przykład kamery EO ze światłem strukturalnym) albo o przerwaniu zadania decyduje komitet sterujący w M9. Odrzucenie hipotezy H2 nie jest niepowodzeniem, bo uzasadnia algorytm adaptacyjny w Z5.</w:t>
      </w:r>
    </w:p>
    <w:p>
      <w:r>
        <w:br w:type="page"/>
      </w:r>
    </w:p>
    <w:p>
      <w:pPr>
        <w:pStyle w:val="Heading1"/>
      </w:pPr>
      <w:r>
        <w:t>Zadanie 2</w:t>
      </w:r>
    </w:p>
    <w:p>
      <w:r>
        <w:rPr>
          <w:b/>
        </w:rPr>
        <w:t>2. Badania przemysłowe: Opracowanie metodologii wielomodalnej akwizycji danych i budowa datasetu środowiskowego przestrzeni ładunkowej naczepy TIR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[794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w zbiorach treningowym, test naturalny i test kontrolowany, z sumami kontrolnymi, zamrożony przed startem Z4; 5) kompletność z raportu liczności klas, sezonów i typów nawierzchni.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[710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komitet sterujący w M18 wstrzymuje zadanie Z4 i modyfikuje zakres.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[837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[745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komitet sterujący w M18 zawęża zakres (taksonomia do pasów i klinów według EN 12195, ML do 2-3 klas) albo przerywa zadanie.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[789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[868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komitet sterujący w M27 ogranicza zakres funkcji albo przerywa zadanie modelowe, a Z7 przyjmuje model o niższych, lecz zmierzonych parametrach.</w:t>
      </w:r>
    </w:p>
    <w:p>
      <w:r>
        <w:br w:type="page"/>
      </w:r>
    </w:p>
    <w:p>
      <w:pPr>
        <w:pStyle w:val="Heading1"/>
      </w:pPr>
      <w:r>
        <w:t>Zadanie 5</w:t>
      </w:r>
    </w:p>
    <w:p>
      <w:r>
        <w:rPr>
          <w:b/>
        </w:rPr>
        <w:t>5. Prace rozwojowe: Algorytmy fuzji ToF RGB-D lub EO/IR ze światłem strukturalnym z kompensacją drgań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[3170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te same wielkości będą ponownie mierzone po kompresji w zadaniu Z7 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[805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[780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komitet sterujący w M27 zawęża zakres funkcji 3D albo przerywa zadanie.</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[3275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Poza zakresem prac B+R i poza kosztami projektu pozostają: standardowe API TMS, integracje z Trans.eu, TimoCom i e-CMR, produkcyjny dashboard TMS, utrzymanie i przygotowanie do wdrożenia operacyjnego. Z istniejącego TMS zadanie korzysta przez interfejs testowy, wyłącznie do pomiaru czasu i kompletności.</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oraz zmierzy czasy i opóźnienia w testach integracyjnych. Backend/Full-Stack Developer, w wymiarze 1,0 etatu przez 9 miesięcy od M19 do M27, zbuduje strumieniowy potok danych z embedded do pipeline'u, kolejkowanie i spójność przy utracie łączności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czasu tych osób wynika z podziału ich etatów między zadania Z6, Z7 i Z9 określonego w budżecie.</w:t>
      </w:r>
    </w:p>
    <w:p>
      <w:pPr>
        <w:keepNext/>
        <w:spacing w:before="160" w:after="40"/>
      </w:pPr>
      <w:r>
        <w:rPr>
          <w:b/>
          <w:sz w:val="20"/>
        </w:rPr>
        <w:t>Szczegółowy opis planowanych prac wraz z uzasadnieniem (w tym opis metody badawczej)</w:t>
      </w:r>
      <w:r>
        <w:rPr>
          <w:color w:val="666666"/>
          <w:sz w:val="17"/>
        </w:rPr>
        <w:t xml:space="preserve"> [3098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standardowe (API TMS, Trans.eu, TimoCom, e-CMR, produkcyjny dashboard,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interfejsu testowego TMS do 2 s).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interfejs testowy do istniejącego TMS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[919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interfejsu testowego TMS: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interfejs testowy do TMS. Integracje z Trans.eu, TimoCom i e-CMR są poza zakresem prac B+R.</w:t>
      </w:r>
    </w:p>
    <w:p>
      <w:pPr>
        <w:keepNext/>
        <w:spacing w:before="160" w:after="40"/>
      </w:pPr>
      <w:r>
        <w:rPr>
          <w:b/>
          <w:sz w:val="20"/>
        </w:rPr>
        <w:t>Opis sposobu weryfikacji osiągnięcia kamienia milowego</w:t>
      </w:r>
      <w:r>
        <w:rPr>
          <w:color w:val="666666"/>
          <w:sz w:val="17"/>
        </w:rPr>
        <w:t xml:space="preserve"> [692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[843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komitet sterujący w M27 ogranicza zakres funkcji dokumentacyjnych albo przerywa zadanie.</w:t>
      </w:r>
    </w:p>
    <w:p>
      <w:r>
        <w:br w:type="page"/>
      </w:r>
    </w:p>
    <w:p>
      <w:pPr>
        <w:pStyle w:val="Heading1"/>
      </w:pPr>
      <w:r>
        <w:t>Zadanie 7</w:t>
      </w:r>
    </w:p>
    <w:p>
      <w:r>
        <w:rPr>
          <w:b/>
        </w:rPr>
        <w:t>7. Prace rozwojowe: Optymalizacja embedded AI + architektura sprzętowa</w:t>
      </w:r>
    </w:p>
    <w:p>
      <w:r>
        <w:rPr>
          <w:color w:val="666666"/>
        </w:rPr>
        <w:t>Everest11, prace rozwojowe, M19-M27, równolegle z Z6</w:t>
      </w:r>
    </w:p>
    <w:p>
      <w:pPr>
        <w:keepNext/>
        <w:spacing w:before="160" w:after="40"/>
      </w:pPr>
      <w:r>
        <w:rPr>
          <w:b/>
          <w:sz w:val="20"/>
        </w:rPr>
        <w:t>Zakres planowanych prac B+R</w:t>
      </w:r>
      <w:r>
        <w:rPr>
          <w:color w:val="666666"/>
          <w:sz w:val="17"/>
        </w:rPr>
        <w:t xml:space="preserve"> [3297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zmieścienia modeli w platformie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czasu tych osób wynika z podziału ich etatów między zadania Z6, Z7 i Z9 określonego w budżecie.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[3267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Z5 i Z8 są budowane w pełnej precyzji FP32 i nie mieszczą się w ograniczeniach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Zadanie przekaże zintegrowany system do instalacji i testów terenowych w zadaniu Z9, a bez zwalidowanego systemu testy te nie mogą się rozpocząć,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[739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[902 z 1300 znaków]</w:t>
      </w:r>
    </w:p>
    <w:p>
      <w:pPr>
        <w:spacing w:after="60"/>
        <w:shd w:val="clear" w:color="auto" w:fill="EEF3FA"/>
      </w:pPr>
      <w:r>
        <w:rPr>
          <w:b w:val="0"/>
        </w:rPr>
        <w:t xml:space="preserve">Brak kamienia uniemożliwia instalację systemu w Z9 i blokuje testy terenowe.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komitet sterujący w M27 zmienia platformę lub zakres funkcji offline albo przerywa zadanie.</w:t>
      </w:r>
    </w:p>
    <w:p>
      <w:r>
        <w:br w:type="page"/>
      </w:r>
    </w:p>
    <w:p>
      <w:pPr>
        <w:pStyle w:val="Heading1"/>
      </w:pPr>
      <w:r>
        <w:t>Zadanie 8</w:t>
      </w:r>
    </w:p>
    <w:p>
      <w:r>
        <w:rPr>
          <w:b/>
        </w:rPr>
        <w:t>8. Prace rozwojowe: Modele CV weryfikacji zabezpieczeń +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[778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Decyzję o dalszym przebiegu podejmuje komitet sterujący w M26 (wersja RC) i w M30.</w:t>
      </w:r>
    </w:p>
    <w:p>
      <w:pPr>
        <w:keepNext/>
        <w:spacing w:before="160" w:after="40"/>
      </w:pPr>
      <w:r>
        <w:rPr>
          <w:b/>
          <w:sz w:val="20"/>
        </w:rPr>
        <w:t>Opis wpływu nieosiągnięcia kamienia milowego na realizację projektu</w:t>
      </w:r>
      <w:r>
        <w:rPr>
          <w:color w:val="666666"/>
          <w:sz w:val="17"/>
        </w:rPr>
        <w:t xml:space="preserve"> [871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komitet sterujący ogranicza zakres funkcji CV albo wydziela je do prac po projekcie.</w:t>
      </w:r>
    </w:p>
    <w:p>
      <w:r>
        <w:br w:type="page"/>
      </w:r>
    </w:p>
    <w:p>
      <w:pPr>
        <w:pStyle w:val="Heading1"/>
      </w:pPr>
      <w:r>
        <w:t>Zadanie 9</w:t>
      </w:r>
    </w:p>
    <w:p>
      <w:r>
        <w:rPr>
          <w:b/>
        </w:rPr>
        <w:t>9. Prace rozwojowe: Testy terenowe + walidacja KPI na flocie Natanek Logistics (Z9)</w:t>
      </w:r>
    </w:p>
    <w:p>
      <w:r>
        <w:rPr>
          <w:color w:val="666666"/>
        </w:rPr>
        <w:t>Everest11, prace rozwojowe, M22-M30</w:t>
      </w:r>
    </w:p>
    <w:p>
      <w:pPr>
        <w:keepNext/>
        <w:spacing w:before="160" w:after="40"/>
      </w:pPr>
      <w:r>
        <w:rPr>
          <w:b/>
          <w:sz w:val="20"/>
        </w:rPr>
        <w:t>Zakres planowanych prac B+R</w:t>
      </w:r>
      <w:r>
        <w:rPr>
          <w:color w:val="666666"/>
          <w:sz w:val="17"/>
        </w:rPr>
        <w:t xml:space="preserve"> [3959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egzemplarzy release candidate,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 w celu ponownego potwierdzenia parametrów po korektach. Zmiany architektury i reanotacje, wymagające dłuższego cyklu, wykona PRz w zadaniu Z8.</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 Zestawy po walidacji zostaną zlikwidowane z protokołem, bez użycia komercyjnego.</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oraz anotację próbki co najmniej 200 obrazów terenowych, weryfikowaną przez specjalistę TSL, a także przeprowadzi badanie akceptacji użytkowników (kierowcy, dyspozytorzy) według scenariuszy specjalisty TSL. IoT Specialist odbierze zestawy po montażu, skalibruje je i zarejestruje parametry niezawodności sprzętu. IT Specialist zbierze logi (dostępność, status GSM, bufor), zmierzy czas PoC i opóźnienia oraz opracuje dane do raportu KPI. Bieżące utrzymanie systemu nie należy do tego zadania. Cybersecurity / AI Act Specialist wykona testy bezpieczeństwa prototypu w terenie i uruchomi zamrożony skrypt ewaluacyjny jako niezależny ewaluator. Specjalista ds. logistyki TSL poprowadzi inspekcje ground truth i zweryfikuje anotację próbki obrazów. Backend/Full-Stack Developer, w wymiarze 1,0 etatu przez 3 miesiące od M28 do M30, obsłuży walidację PoC i zgodności eFTI w terenie na co najmniej 200 cyklach oraz analizę błędów. Nakład czasu pozostałych osób wynika z podziału ich etatów między zadania Z6, Z7 i Z9 określonego w budżecie.</w:t>
      </w:r>
    </w:p>
    <w:p>
      <w:pPr>
        <w:keepNext/>
        <w:spacing w:before="160" w:after="40"/>
      </w:pPr>
      <w:r>
        <w:rPr>
          <w:b/>
          <w:sz w:val="20"/>
        </w:rPr>
        <w:t>Szczegółowy opis planowanych prac wraz z uzasadnieniem (w tym opis metody badawczej)</w:t>
      </w:r>
      <w:r>
        <w:rPr>
          <w:color w:val="666666"/>
          <w:sz w:val="17"/>
        </w:rPr>
        <w:t xml:space="preserve"> [3764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zainstaluje wyłącznie finalne zestawy prototypowe i je zdemontuje,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Z danych radaru mmWave będzie dodatkowo wyznaczany wskaźnik wykorzystania kubatury naczepy (cel co najmniej 80%), raportowany miesięcznie jako wskaźnik operacyjny, który nie jest parametrem kamienia milowego. Raport techniczny z zadania Z9 jest wejściem do prac patentowych w zadaniu Z11, a koszty zadania obejmują wynagrodzenia wymienionych osób Everest11 oraz usługę podwykonawcy.</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[851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Decyzję o zakończeniu, modyfikacji albo przerwaniu zadania podejmuje komitet sterujący w M30.</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[1334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Decyzję podejmuje komitet sterujący w M9 (zadanie Z1) lub w M27 (zadanie Z5): zmienia architekturę sensoryczną, na przykład na kamery EO ze światłem strukturalnym, albo przerywa zadanie.</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[1683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Decyzję podejmuje komitet sterujący w M18 (zadanie Z2) lub w M27 (zadanie Z4): ogranicza zakres funkcji albo przerywa zadanie modelowe.</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[1329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Decyzję podejmuje komitet sterujący w M26 (wersja RC) i w M30 (końcowa): ogranicza zakres funkcji CV albo wydziela je do prac po projekcie.</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[1424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Decyzję podejmuje komitet sterujący w M27: zmienia platformę sprzętową lub zakres funkcji offline albo przerywa zadanie.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[1317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komitet sterujący ogranicza zakres funkcji uruchamianych na platformie embedded albo przerywa zadanie Z7.</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[739 z 2000 znaków]</w:t>
      </w:r>
    </w:p>
    <w:p>
      <w:pPr>
        <w:spacing w:after="60"/>
        <w:shd w:val="clear" w:color="auto" w:fill="FBF3E6"/>
      </w:pPr>
      <w:r>
        <w:rPr>
          <w:b w:val="0"/>
        </w:rPr>
        <w:t>Ryzyko dotyczy całego okresu realizacji i wdrożenia. Po wejściu Inwestora (Zbigniew Natanek, do 20% udziałów Everest11) transakcje Everest11 z podmiotami Inwestora, w szczególności z Natanek Logistics (udostępnienie floty testowej, kontrakty sprzedażowe CargoDT), mogą zostać zakwestionowane jako niezgodne z warunkami rynkowymi. Dotyczy to przepisów o podmiotach powiązanych (próg 25% udziałów), zasad pomocy publicznej i racjonalności wydatków. Natanek Logistics jest jednym z trzech niezależnych, potwierdzonych klientów (listy intencyjne), co ogranicza skalę zależności. Prawdopodobieństwo jest niskie. Skutkiem byłoby zakwestionowanie wydatków lub przychodów, opóźnienie rozliczeń i ryzyko reputacyjne. Ryzyko nie wpływa na prace B+R.</w:t>
      </w:r>
    </w:p>
    <w:p>
      <w:pPr>
        <w:keepNext/>
        <w:spacing w:before="160" w:after="40"/>
      </w:pPr>
      <w:r>
        <w:rPr>
          <w:b/>
          <w:sz w:val="20"/>
        </w:rPr>
        <w:t>Sposoby zapobiegania i minimalizacji skutków</w:t>
      </w:r>
      <w:r>
        <w:rPr>
          <w:color w:val="666666"/>
          <w:sz w:val="17"/>
        </w:rPr>
        <w:t xml:space="preserve"> [873 z 2000 znaków]</w:t>
      </w:r>
    </w:p>
    <w:p>
      <w:pPr>
        <w:spacing w:after="60"/>
        <w:shd w:val="clear" w:color="auto" w:fill="FBF3E6"/>
      </w:pPr>
      <w:r>
        <w:rPr>
          <w:b w:val="0"/>
        </w:rPr>
        <w:t>Ryzyko ograniczamy czterema działaniami. Wszystkie transakcje z podmiotami powiązanymi z Inwestorem zawieramy na warunkach rynkowych, weryfikowanych tą samą metodą, którą stosujemy do cen rynkowych praw majątkowych między konsorcjantami: rozeznaniem rynku, niezależną wyceną albo negocjacjami w warunkach pełnej konkurencji. Umowę partnerską dotyczącą floty testowej dokumentujemy odniesieniem do porównywalnych ofert rynkowych (koszty wynajmu floty u innych podmiotów) i wpisujemy do rejestru transakcji. Formalnie ustalamy, czy Everest11 i Natanek Logistics są powiązane w rozumieniu przepisów o podatku dochodowym (próg 25% udziałów, a Inwestor ma najwyżej 20%), a niezależnie od wyniku dokumentujemy warunki rynkowe transakcji. Niezależność walidacji zabezpiecza ścieżka audytu z zadania Z9 i dywersyfikacja floty (R11). Ocena transakcji jest prowadzona raz na kwartał.</w:t>
      </w:r>
    </w:p>
    <w:p>
      <w:r>
        <w:br w:type="page"/>
      </w:r>
    </w:p>
    <w:p>
      <w:pPr>
        <w:pStyle w:val="Heading1"/>
      </w:pPr>
      <w:r>
        <w:t>Część trzecia. Uzasadnienie kosztu personelu Everest11 (3.1.2)</w:t>
      </w:r>
    </w:p>
    <w:p>
      <w:pPr>
        <w:spacing w:after="60"/>
      </w:pPr>
      <w:r>
        <w:rPr>
          <w:b w:val="0"/>
        </w:rPr>
        <w:t>Nowe teksty pola „Uzasadnienie kosztu” (limit 1500 znaków) dla stanowisk Everest11 w zadaniach Z2, Z6, Z7 i Z9. Są zgodne z opisami zadań, z punktem 6.1 i z uwagami 33, 38, 39 i 40. Pole „Metoda szacowania” pozostaje do zmiany po decyzji o podziale etatów między Z6, Z7 i Z9 oraz o podziale Backend/Full-Stack na Z6 i Z9 (osobna pozycja kosztowa Z9).</w:t>
      </w:r>
    </w:p>
    <w:p>
      <w:pPr>
        <w:pStyle w:val="Heading2"/>
      </w:pPr>
      <w:r>
        <w:t>Zadanie 2</w:t>
      </w:r>
    </w:p>
    <w:p>
      <w:pPr>
        <w:keepNext/>
        <w:spacing w:before="160" w:after="40"/>
      </w:pPr>
      <w:r>
        <w:rPr>
          <w:b/>
          <w:sz w:val="20"/>
        </w:rPr>
        <w:t>AI Lead - wynagrodzenie (Z2)</w:t>
      </w:r>
      <w:r>
        <w:rPr>
          <w:color w:val="666666"/>
          <w:sz w:val="17"/>
        </w:rPr>
        <w:t xml:space="preserve"> [876 z 1500 znaków]</w:t>
      </w:r>
    </w:p>
    <w:p>
      <w:pPr>
        <w:spacing w:after="60"/>
        <w:shd w:val="clear" w:color="auto" w:fill="EEF6EE"/>
      </w:pPr>
      <w:r>
        <w:rPr>
          <w:b w:val="0"/>
        </w:rPr>
        <w:t>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(Z2)</w:t>
      </w:r>
      <w:r>
        <w:rPr>
          <w:color w:val="666666"/>
          <w:sz w:val="17"/>
        </w:rPr>
        <w:t xml:space="preserve"> [747 z 1500 znaków]</w:t>
      </w:r>
    </w:p>
    <w:p>
      <w:pPr>
        <w:spacing w:after="60"/>
        <w:shd w:val="clear" w:color="auto" w:fill="EEF6EE"/>
      </w:pPr>
      <w:r>
        <w:rPr>
          <w:b w:val="0"/>
        </w:rPr>
        <w:t>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(Z2)</w:t>
      </w:r>
      <w:r>
        <w:rPr>
          <w:color w:val="666666"/>
          <w:sz w:val="17"/>
        </w:rPr>
        <w:t xml:space="preserve"> [670 z 1500 znaków]</w:t>
      </w:r>
    </w:p>
    <w:p>
      <w:pPr>
        <w:spacing w:after="60"/>
        <w:shd w:val="clear" w:color="auto" w:fill="EEF6EE"/>
      </w:pPr>
      <w:r>
        <w:rPr>
          <w:b w:val="0"/>
        </w:rPr>
        <w:t>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(Z2)</w:t>
      </w:r>
      <w:r>
        <w:rPr>
          <w:color w:val="666666"/>
          <w:sz w:val="17"/>
        </w:rPr>
        <w:t xml:space="preserve"> [741 z 1500 znaków]</w:t>
      </w:r>
    </w:p>
    <w:p>
      <w:pPr>
        <w:spacing w:after="60"/>
        <w:shd w:val="clear" w:color="auto" w:fill="EEF6EE"/>
      </w:pPr>
      <w:r>
        <w:rPr>
          <w:b w:val="0"/>
        </w:rPr>
        <w:t>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(Z2)</w:t>
      </w:r>
      <w:r>
        <w:rPr>
          <w:color w:val="666666"/>
          <w:sz w:val="17"/>
        </w:rPr>
        <w:t xml:space="preserve"> [728 z 1500 znaków]</w:t>
      </w:r>
    </w:p>
    <w:p>
      <w:pPr>
        <w:spacing w:after="60"/>
        <w:shd w:val="clear" w:color="auto" w:fill="EEF6EE"/>
      </w:pPr>
      <w:r>
        <w:rPr>
          <w:b w:val="0"/>
        </w:rPr>
        <w:t>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(Z2)</w:t>
      </w:r>
      <w:r>
        <w:rPr>
          <w:color w:val="666666"/>
          <w:sz w:val="17"/>
        </w:rPr>
        <w:t xml:space="preserve"> [692 z 1500 znaków]</w:t>
      </w:r>
    </w:p>
    <w:p>
      <w:pPr>
        <w:spacing w:after="60"/>
        <w:shd w:val="clear" w:color="auto" w:fill="EEF6EE"/>
      </w:pPr>
      <w:r>
        <w:rPr>
          <w:b w:val="0"/>
        </w:rPr>
        <w:t>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(Z2)</w:t>
      </w:r>
      <w:r>
        <w:rPr>
          <w:color w:val="666666"/>
          <w:sz w:val="17"/>
        </w:rPr>
        <w:t xml:space="preserve"> [613 z 1500 znaków]</w:t>
      </w:r>
    </w:p>
    <w:p>
      <w:pPr>
        <w:spacing w:after="60"/>
        <w:shd w:val="clear" w:color="auto" w:fill="EEF6EE"/>
      </w:pPr>
      <w:r>
        <w:rPr>
          <w:b w:val="0"/>
        </w:rPr>
        <w:t>Backend/Full-Stack Developer, w wymiarze 1,0 etatu w M13-M18, zaimplementuje warstwę programową potoku akwizycji: moduły zbierania i porządkowania strumieni z różnych sensorów, zapis i przesył danych oraz strukturyzację zbioru przekazywanego do PRz.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p>
      <w:pPr>
        <w:keepNext/>
        <w:spacing w:before="160" w:after="40"/>
      </w:pPr>
      <w:r>
        <w:rPr>
          <w:b/>
          <w:sz w:val="20"/>
        </w:rPr>
        <w:t>Anotatorzy - wynagrodzenie (Z2)</w:t>
      </w:r>
      <w:r>
        <w:rPr>
          <w:color w:val="666666"/>
          <w:sz w:val="17"/>
        </w:rPr>
        <w:t xml:space="preserve"> [888 z 1500 znaków]</w:t>
      </w:r>
    </w:p>
    <w:p>
      <w:pPr>
        <w:spacing w:after="60"/>
        <w:shd w:val="clear" w:color="auto" w:fill="EEF6EE"/>
      </w:pPr>
      <w:r>
        <w:rPr>
          <w:b w:val="0"/>
        </w:rPr>
        <w:t>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p>
      <w:pPr>
        <w:pStyle w:val="Heading2"/>
      </w:pPr>
      <w:r>
        <w:t>Zadanie 6</w:t>
      </w:r>
    </w:p>
    <w:p>
      <w:pPr>
        <w:keepNext/>
        <w:spacing w:before="160" w:after="40"/>
      </w:pPr>
      <w:r>
        <w:rPr>
          <w:b/>
          <w:sz w:val="20"/>
        </w:rPr>
        <w:t>AI Lead - wynagrodzenie (Z6)</w:t>
      </w:r>
      <w:r>
        <w:rPr>
          <w:color w:val="666666"/>
          <w:sz w:val="17"/>
        </w:rPr>
        <w:t xml:space="preserve"> [665 z 1500 znaków]</w:t>
      </w:r>
    </w:p>
    <w:p>
      <w:pPr>
        <w:spacing w:after="60"/>
        <w:shd w:val="clear" w:color="auto" w:fill="EEF6EE"/>
      </w:pPr>
      <w:r>
        <w:rPr>
          <w:b w:val="0"/>
        </w:rPr>
        <w:t>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(Z6)</w:t>
      </w:r>
      <w:r>
        <w:rPr>
          <w:color w:val="666666"/>
          <w:sz w:val="17"/>
        </w:rPr>
        <w:t xml:space="preserve"> [571 z 1500 znaków]</w:t>
      </w:r>
    </w:p>
    <w:p>
      <w:pPr>
        <w:spacing w:after="60"/>
        <w:shd w:val="clear" w:color="auto" w:fill="EEF6EE"/>
      </w:pPr>
      <w:r>
        <w:rPr>
          <w:b w:val="0"/>
        </w:rPr>
        <w:t>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(Z6)</w:t>
      </w:r>
      <w:r>
        <w:rPr>
          <w:color w:val="666666"/>
          <w:sz w:val="17"/>
        </w:rPr>
        <w:t xml:space="preserve"> [608 z 1500 znaków]</w:t>
      </w:r>
    </w:p>
    <w:p>
      <w:pPr>
        <w:spacing w:after="60"/>
        <w:shd w:val="clear" w:color="auto" w:fill="EEF6EE"/>
      </w:pPr>
      <w:r>
        <w:rPr>
          <w:b w:val="0"/>
        </w:rPr>
        <w:t>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(Z6)</w:t>
      </w:r>
      <w:r>
        <w:rPr>
          <w:color w:val="666666"/>
          <w:sz w:val="17"/>
        </w:rPr>
        <w:t xml:space="preserve"> [701 z 1500 znaków]</w:t>
      </w:r>
    </w:p>
    <w:p>
      <w:pPr>
        <w:spacing w:after="60"/>
        <w:shd w:val="clear" w:color="auto" w:fill="EEF6EE"/>
      </w:pPr>
      <w:r>
        <w:rPr>
          <w:b w:val="0"/>
        </w:rPr>
        <w:t>IT Specialist zaimplementuje pipeline PoL i PoC oraz generator dokumentów eFTI w formacie XML i JSON według reguł przekształcania zdarzeń z sensorów w pola eFTI. Wykona walidację schematem XSD i zmierzy czas generowania oraz opóźnienie przesłania zdarzenia do interfejsu testowego TMS w testach integracyjnych na co najmniej 50 cyklach załadunek-rozładunek (cel: mediana do 30 s, opóźnienie do 2 s). Standardowe API TMS, integracje z Trans.eu, TimoCom i e-CMR oraz utrzymanie nie są objęte kosztem; Everest11 wykonuje je poza projektem.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(Z6)</w:t>
      </w:r>
      <w:r>
        <w:rPr>
          <w:color w:val="666666"/>
          <w:sz w:val="17"/>
        </w:rPr>
        <w:t xml:space="preserve"> [554 z 1500 znaków]</w:t>
      </w:r>
    </w:p>
    <w:p>
      <w:pPr>
        <w:spacing w:after="60"/>
        <w:shd w:val="clear" w:color="auto" w:fill="EEF6EE"/>
      </w:pPr>
      <w:r>
        <w:rPr>
          <w:b w:val="0"/>
        </w:rPr>
        <w:t>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(Z6)</w:t>
      </w:r>
      <w:r>
        <w:rPr>
          <w:color w:val="666666"/>
          <w:sz w:val="17"/>
        </w:rPr>
        <w:t xml:space="preserve"> [545 z 1500 znaków]</w:t>
      </w:r>
    </w:p>
    <w:p>
      <w:pPr>
        <w:spacing w:after="60"/>
        <w:shd w:val="clear" w:color="auto" w:fill="EEF6EE"/>
      </w:pPr>
      <w:r>
        <w:rPr>
          <w:b w:val="0"/>
        </w:rPr>
        <w:t>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(Z6)</w:t>
      </w:r>
      <w:r>
        <w:rPr>
          <w:color w:val="666666"/>
          <w:sz w:val="17"/>
        </w:rPr>
        <w:t xml:space="preserve"> [760 z 1500 znaków]</w:t>
      </w:r>
    </w:p>
    <w:p>
      <w:pPr>
        <w:spacing w:after="60"/>
        <w:shd w:val="clear" w:color="auto" w:fill="EEF6EE"/>
      </w:pPr>
      <w:r>
        <w:rPr>
          <w:b w:val="0"/>
        </w:rPr>
        <w:t>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Wykona test zgodności wygenerowanych dokumentów eFTI z implementacją referencyjną Komisji Europejskiej i wesprze testy integracyjne. Ciągłość kompetencji z zadania Z2 zapewnia spójność warstwy danych między akwizycją a generacją dokumentów. Rutynowa integracja API i utrzymanie nie są objęte kosztem. Zakres stanowiska ma wyłącznie charakter badawczo-rozwojowy i nie obejmuje czynności zarządczych, kierowniczych, koordynacyjnych, administracyjnych ani nadzorczych.</w:t>
      </w:r>
    </w:p>
    <w:p>
      <w:pPr>
        <w:pStyle w:val="Heading2"/>
      </w:pPr>
      <w:r>
        <w:t>Zadanie 7</w:t>
      </w:r>
    </w:p>
    <w:p>
      <w:pPr>
        <w:keepNext/>
        <w:spacing w:before="160" w:after="40"/>
      </w:pPr>
      <w:r>
        <w:rPr>
          <w:b/>
          <w:sz w:val="20"/>
        </w:rPr>
        <w:t>AI Lead - wynagrodzenie (Z7)</w:t>
      </w:r>
      <w:r>
        <w:rPr>
          <w:color w:val="666666"/>
          <w:sz w:val="17"/>
        </w:rPr>
        <w:t xml:space="preserve"> [812 z 1500 znaków]</w:t>
      </w:r>
    </w:p>
    <w:p>
      <w:pPr>
        <w:spacing w:after="60"/>
        <w:shd w:val="clear" w:color="auto" w:fill="EEF6EE"/>
      </w:pPr>
      <w:r>
        <w:rPr>
          <w:b w:val="0"/>
        </w:rPr>
        <w:t>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(Z7)</w:t>
      </w:r>
      <w:r>
        <w:rPr>
          <w:color w:val="666666"/>
          <w:sz w:val="17"/>
        </w:rPr>
        <w:t xml:space="preserve"> [733 z 1500 znaków]</w:t>
      </w:r>
    </w:p>
    <w:p>
      <w:pPr>
        <w:spacing w:after="60"/>
        <w:shd w:val="clear" w:color="auto" w:fill="EEF6EE"/>
      </w:pPr>
      <w:r>
        <w:rPr>
          <w:b w:val="0"/>
        </w:rPr>
        <w:t>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(Z7)</w:t>
      </w:r>
      <w:r>
        <w:rPr>
          <w:color w:val="666666"/>
          <w:sz w:val="17"/>
        </w:rPr>
        <w:t xml:space="preserve"> [691 z 1500 znaków]</w:t>
      </w:r>
    </w:p>
    <w:p>
      <w:pPr>
        <w:spacing w:after="60"/>
        <w:shd w:val="clear" w:color="auto" w:fill="EEF6EE"/>
      </w:pPr>
      <w:r>
        <w:rPr>
          <w:b w:val="0"/>
        </w:rPr>
        <w:t>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(Z7)</w:t>
      </w:r>
      <w:r>
        <w:rPr>
          <w:color w:val="666666"/>
          <w:sz w:val="17"/>
        </w:rPr>
        <w:t xml:space="preserve"> [667 z 1500 znaków]</w:t>
      </w:r>
    </w:p>
    <w:p>
      <w:pPr>
        <w:spacing w:after="60"/>
        <w:shd w:val="clear" w:color="auto" w:fill="EEF6EE"/>
      </w:pPr>
      <w:r>
        <w:rPr>
          <w:b w:val="0"/>
        </w:rPr>
        <w:t>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(Z7)</w:t>
      </w:r>
      <w:r>
        <w:rPr>
          <w:color w:val="666666"/>
          <w:sz w:val="17"/>
        </w:rPr>
        <w:t xml:space="preserve"> [757 z 1500 znaków]</w:t>
      </w:r>
    </w:p>
    <w:p>
      <w:pPr>
        <w:spacing w:after="60"/>
        <w:shd w:val="clear" w:color="auto" w:fill="EEF6EE"/>
      </w:pPr>
      <w:r>
        <w:rPr>
          <w:b w:val="0"/>
        </w:rPr>
        <w:t>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(Z7)</w:t>
      </w:r>
      <w:r>
        <w:rPr>
          <w:color w:val="666666"/>
          <w:sz w:val="17"/>
        </w:rPr>
        <w:t xml:space="preserve"> [614 z 1500 znaków]</w:t>
      </w:r>
    </w:p>
    <w:p>
      <w:pPr>
        <w:spacing w:after="60"/>
        <w:shd w:val="clear" w:color="auto" w:fill="EEF6EE"/>
      </w:pPr>
      <w:r>
        <w:rPr>
          <w:b w:val="0"/>
        </w:rPr>
        <w:t>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p>
      <w:pPr>
        <w:pStyle w:val="Heading2"/>
      </w:pPr>
      <w:r>
        <w:t>Zadanie 9</w:t>
      </w:r>
    </w:p>
    <w:p>
      <w:pPr>
        <w:keepNext/>
        <w:spacing w:before="160" w:after="40"/>
      </w:pPr>
      <w:r>
        <w:rPr>
          <w:b/>
          <w:sz w:val="20"/>
        </w:rPr>
        <w:t>AI Lead - wynagrodzenie (Z9)</w:t>
      </w:r>
      <w:r>
        <w:rPr>
          <w:color w:val="666666"/>
          <w:sz w:val="17"/>
        </w:rPr>
        <w:t xml:space="preserve"> [728 z 1500 znaków]</w:t>
      </w:r>
    </w:p>
    <w:p>
      <w:pPr>
        <w:spacing w:after="60"/>
        <w:shd w:val="clear" w:color="auto" w:fill="EEF6EE"/>
      </w:pPr>
      <w:r>
        <w:rPr>
          <w:b w:val="0"/>
        </w:rPr>
        <w:t>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(Z9)</w:t>
      </w:r>
      <w:r>
        <w:rPr>
          <w:color w:val="666666"/>
          <w:sz w:val="17"/>
        </w:rPr>
        <w:t xml:space="preserve"> [740 z 1500 znaków]</w:t>
      </w:r>
    </w:p>
    <w:p>
      <w:pPr>
        <w:spacing w:after="60"/>
        <w:shd w:val="clear" w:color="auto" w:fill="EEF6EE"/>
      </w:pPr>
      <w:r>
        <w:rPr>
          <w:b w:val="0"/>
        </w:rPr>
        <w:t>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(Z9)</w:t>
      </w:r>
      <w:r>
        <w:rPr>
          <w:color w:val="666666"/>
          <w:sz w:val="17"/>
        </w:rPr>
        <w:t xml:space="preserve"> [681 z 1500 znaków]</w:t>
      </w:r>
    </w:p>
    <w:p>
      <w:pPr>
        <w:spacing w:after="60"/>
        <w:shd w:val="clear" w:color="auto" w:fill="EEF6EE"/>
      </w:pPr>
      <w:r>
        <w:rPr>
          <w:b w:val="0"/>
        </w:rPr>
        <w:t>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(Z9)</w:t>
      </w:r>
      <w:r>
        <w:rPr>
          <w:color w:val="666666"/>
          <w:sz w:val="17"/>
        </w:rPr>
        <w:t xml:space="preserve"> [572 z 1500 znaków]</w:t>
      </w:r>
    </w:p>
    <w:p>
      <w:pPr>
        <w:spacing w:after="60"/>
        <w:shd w:val="clear" w:color="auto" w:fill="EEF6EE"/>
      </w:pPr>
      <w:r>
        <w:rPr>
          <w:b w:val="0"/>
        </w:rPr>
        <w:t>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(Z9)</w:t>
      </w:r>
      <w:r>
        <w:rPr>
          <w:color w:val="666666"/>
          <w:sz w:val="17"/>
        </w:rPr>
        <w:t xml:space="preserve"> [686 z 1500 znaków]</w:t>
      </w:r>
    </w:p>
    <w:p>
      <w:pPr>
        <w:spacing w:after="60"/>
        <w:shd w:val="clear" w:color="auto" w:fill="EEF6EE"/>
      </w:pPr>
      <w:r>
        <w:rPr>
          <w:b w:val="0"/>
        </w:rPr>
        <w:t>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(Z9)</w:t>
      </w:r>
      <w:r>
        <w:rPr>
          <w:color w:val="666666"/>
          <w:sz w:val="17"/>
        </w:rPr>
        <w:t xml:space="preserve"> [705 z 1500 znaków]</w:t>
      </w:r>
    </w:p>
    <w:p>
      <w:pPr>
        <w:spacing w:after="60"/>
        <w:shd w:val="clear" w:color="auto" w:fill="EEF6EE"/>
      </w:pPr>
      <w:r>
        <w:rPr>
          <w:b w:val="0"/>
        </w:rPr>
        <w:t>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(Z9)</w:t>
      </w:r>
      <w:r>
        <w:rPr>
          <w:color w:val="666666"/>
          <w:sz w:val="17"/>
        </w:rPr>
        <w:t xml:space="preserve"> [558 z 1500 znaków]</w:t>
      </w:r>
    </w:p>
    <w:p>
      <w:pPr>
        <w:spacing w:after="60"/>
        <w:shd w:val="clear" w:color="auto" w:fill="EEF6EE"/>
      </w:pPr>
      <w:r>
        <w:rPr>
          <w:b w:val="0"/>
        </w:rPr>
        <w:t>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Budżet: 12 mc fazy PR podzielone na 3 zadania</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bez rutynowej integracji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 Dla sześciu stanowisk Everest11 budżet dzieli 12 miesięcy fazy prac rozwojowych na trzy równe części (Z6, Z7, Z9). Ekspert w uwagach 36 i 37 pyta o rzeczywisty podział. Opisy zadań podają zakres czynności bez liczby miesięcy i odsyłają do budżetu. Decyzja o rzeczywistym podziale należy do bloku budżetowego (patrz Aneks C, pozycja 6).</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wykaz prac poza zakresem B+R i poza kosztami, trzy niepewności</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61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Komitet sterujący: opisy kamieni zakładają organ w składzie kierownik zarządzający (przewodniczący), kierownik B+R i przedstawiciel PRz. Trzeba potwierdzić, że taki organ istnieje w umowie konsorcjum albo go tam wpisać. Alternatywa: decyzja kierownika zarządzającego po opinii kierownika B+R.</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obecnie koszt jest dzielony na trzy równe części, co ekspert kwestionuje w uwagach 36 i 37. Opisy podają zakres czynności bez liczb. Rzeczywisty podział miesięcy trzeba ustalić i wpisać w budżecie. Propozycja rozkładu przy zachowaniu sumy kosztów może być przygotowana w bloku budżetowym.</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r>
        <w:br w:type="page"/>
      </w:r>
    </w:p>
    <w:p>
      <w:pPr>
        <w:pStyle w:val="Heading1"/>
      </w:pPr>
      <w:r>
        <w:t>Aneks E. Miejsca we wniosku do dostosowania do nowych tekstów</w:t>
      </w:r>
    </w:p>
    <w:p>
      <w:pPr>
        <w:spacing w:after="60"/>
      </w:pPr>
      <w:r>
        <w:rPr>
          <w:b w:val="0"/>
        </w:rPr>
        <w:t>Przegląd całego wniosku pod kątem sprzeczności z nowymi opisami zadań, kamieniami milowymi i ryzykami. Każda pozycja wskazuje miejsce, obecny zapis i wymaganą zmianę. Pozycje o priorytecie wysokim trzeba poprawić przed wysłaniem korekty, bo ekspert wskazał je w uwagach albo tworzą wprost sprzeczność w ocenianych polach.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567"/>
            <w:shd w:val="clear" w:color="auto" w:fill="D9E2F3"/>
          </w:tcPr>
          <w:p>
            <w:pPr>
              <w:spacing w:after="20"/>
            </w:pPr>
            <w:r/>
            <w:r>
              <w:rPr>
                <w:b/>
                <w:sz w:val="15"/>
              </w:rPr>
              <w:t>Nr</w:t>
            </w:r>
          </w:p>
        </w:tc>
        <w:tc>
          <w:tcPr>
            <w:tcW w:type="dxa" w:w="1871"/>
            <w:shd w:val="clear" w:color="auto" w:fill="D9E2F3"/>
          </w:tcPr>
          <w:p>
            <w:pPr>
              <w:spacing w:after="20"/>
            </w:pPr>
            <w:r/>
            <w:r>
              <w:rPr>
                <w:b/>
                <w:sz w:val="15"/>
              </w:rPr>
              <w:t>Miejsce we wniosku</w:t>
            </w:r>
          </w:p>
        </w:tc>
        <w:tc>
          <w:tcPr>
            <w:tcW w:type="dxa" w:w="2041"/>
            <w:shd w:val="clear" w:color="auto" w:fill="D9E2F3"/>
          </w:tcPr>
          <w:p>
            <w:pPr>
              <w:spacing w:after="20"/>
            </w:pPr>
            <w:r/>
            <w:r>
              <w:rPr>
                <w:b/>
                <w:sz w:val="15"/>
              </w:rPr>
              <w:t>Obecny zapis</w:t>
            </w:r>
          </w:p>
        </w:tc>
        <w:tc>
          <w:tcPr>
            <w:tcW w:type="dxa" w:w="3175"/>
            <w:shd w:val="clear" w:color="auto" w:fill="D9E2F3"/>
          </w:tcPr>
          <w:p>
            <w:pPr>
              <w:spacing w:after="20"/>
            </w:pPr>
            <w:r/>
            <w:r>
              <w:rPr>
                <w:b/>
                <w:sz w:val="15"/>
              </w:rPr>
              <w:t>Wymagana zmiana</w:t>
            </w:r>
          </w:p>
        </w:tc>
        <w:tc>
          <w:tcPr>
            <w:tcW w:type="dxa" w:w="1247"/>
            <w:shd w:val="clear" w:color="auto" w:fill="D9E2F3"/>
          </w:tcPr>
          <w:p>
            <w:pPr>
              <w:spacing w:after="20"/>
            </w:pPr>
            <w:r/>
            <w:r>
              <w:rPr>
                <w:b/>
                <w:sz w:val="15"/>
              </w:rPr>
              <w:t>Źródło</w:t>
            </w:r>
          </w:p>
        </w:tc>
        <w:tc>
          <w:tcPr>
            <w:tcW w:type="dxa" w:w="737"/>
            <w:shd w:val="clear" w:color="auto" w:fill="D9E2F3"/>
          </w:tcPr>
          <w:p>
            <w:pPr>
              <w:spacing w:after="20"/>
            </w:pPr>
            <w:r/>
            <w:r>
              <w:rPr>
                <w:b/>
                <w:sz w:val="15"/>
              </w:rPr>
              <w:t>Priorytet</w:t>
            </w:r>
          </w:p>
        </w:tc>
      </w:tr>
      <w:tr>
        <w:tc>
          <w:tcPr>
            <w:tcW w:type="dxa" w:w="567"/>
          </w:tcPr>
          <w:p>
            <w:pPr>
              <w:spacing w:after="20"/>
            </w:pPr>
            <w:r/>
            <w:r>
              <w:rPr>
                <w:b w:val="0"/>
                <w:sz w:val="15"/>
              </w:rPr>
              <w:t>N01</w:t>
            </w:r>
          </w:p>
        </w:tc>
        <w:tc>
          <w:tcPr>
            <w:tcW w:type="dxa" w:w="1871"/>
          </w:tcPr>
          <w:p>
            <w:pPr>
              <w:spacing w:after="20"/>
            </w:pPr>
            <w:r/>
            <w:r>
              <w:rPr>
                <w:b w:val="0"/>
                <w:sz w:val="15"/>
              </w:rPr>
              <w:t>3.1.1 Nazwa zadania Z6 (i wszystkie pozycje kosztowe Z6 w 3.1.2)</w:t>
            </w:r>
          </w:p>
        </w:tc>
        <w:tc>
          <w:tcPr>
            <w:tcW w:type="dxa" w:w="2041"/>
          </w:tcPr>
          <w:p>
            <w:pPr>
              <w:spacing w:after="20"/>
            </w:pPr>
            <w:r/>
            <w:r>
              <w:rPr>
                <w:b w:val="0"/>
                <w:sz w:val="15"/>
              </w:rPr>
              <w:t>„Pipeline PoC + integracja TMS/eFTI/e-CMR (Z6)”: nazwa obejmuje integrację TMS i e-CMR, które opis Z6 wyłącza z prac B+R i kosztów.</w:t>
            </w:r>
          </w:p>
        </w:tc>
        <w:tc>
          <w:tcPr>
            <w:tcW w:type="dxa" w:w="3175"/>
          </w:tcPr>
          <w:p>
            <w:pPr>
              <w:spacing w:after="20"/>
            </w:pPr>
            <w:r/>
            <w:r>
              <w:rPr>
                <w:b w:val="0"/>
                <w:sz w:val="15"/>
              </w:rPr>
              <w:t>Zmienić nazwę, np. na „Pipeline PoL/PoC i zgodność z eFTI (Z6)”. Nazwę wpisuje się raz w 3.1.1, a pola przy pozycjach kosztowych pobierają ją automatycznie (Instrukcja, pole techniczne), więc zmiana jest jednorazowa. Do sprawdzenia w LSI. Alternatywa: zostawić nazwę, bo opis Z6 już wyłącza integracje standardowe. DECYZJA: zatwierdzona, nazwa zmieniona w tym dokumencie.</w:t>
            </w:r>
          </w:p>
        </w:tc>
        <w:tc>
          <w:tcPr>
            <w:tcW w:type="dxa" w:w="1247"/>
          </w:tcPr>
          <w:p>
            <w:pPr>
              <w:spacing w:after="20"/>
            </w:pPr>
            <w:r/>
            <w:r>
              <w:rPr>
                <w:b w:val="0"/>
                <w:sz w:val="15"/>
              </w:rPr>
              <w:t>K3-08; D24, D31</w:t>
            </w:r>
          </w:p>
        </w:tc>
        <w:tc>
          <w:tcPr>
            <w:tcW w:type="dxa" w:w="737"/>
          </w:tcPr>
          <w:p>
            <w:pPr>
              <w:spacing w:after="20"/>
            </w:pPr>
            <w:r/>
            <w:r>
              <w:rPr>
                <w:b w:val="0"/>
                <w:sz w:val="15"/>
              </w:rPr>
              <w:t>WYSOKI</w:t>
            </w:r>
          </w:p>
        </w:tc>
      </w:tr>
      <w:tr>
        <w:tc>
          <w:tcPr>
            <w:tcW w:type="dxa" w:w="567"/>
          </w:tcPr>
          <w:p>
            <w:pPr>
              <w:spacing w:after="20"/>
            </w:pPr>
            <w:r/>
            <w:r>
              <w:rPr>
                <w:b w:val="0"/>
                <w:sz w:val="15"/>
              </w:rPr>
              <w:t>N02</w:t>
            </w:r>
          </w:p>
        </w:tc>
        <w:tc>
          <w:tcPr>
            <w:tcW w:type="dxa" w:w="1871"/>
          </w:tcPr>
          <w:p>
            <w:pPr>
              <w:spacing w:after="20"/>
            </w:pPr>
            <w:r/>
            <w:r>
              <w:rPr>
                <w:b w:val="0"/>
                <w:sz w:val="15"/>
              </w:rPr>
              <w:t>1.2 Wskaźnik innowacyjności nr 1 (model 3D): wartość docelowa, jednostka, metodologia</w:t>
            </w:r>
          </w:p>
        </w:tc>
        <w:tc>
          <w:tcPr>
            <w:tcW w:type="dxa" w:w="2041"/>
          </w:tcPr>
          <w:p>
            <w:pPr>
              <w:spacing w:after="20"/>
            </w:pPr>
            <w:r/>
            <w:r>
              <w:rPr>
                <w:b w:val="0"/>
                <w:sz w:val="15"/>
              </w:rPr>
              <w:t>„Błąd estymacji pozycji ≤30 cm”, jednostka [cm]/[Hz]; uzasadnienie, że błąd 30 cm pozwala wykryć przemieszczenie 100 mm.</w:t>
            </w:r>
          </w:p>
        </w:tc>
        <w:tc>
          <w:tcPr>
            <w:tcW w:type="dxa" w:w="3175"/>
          </w:tcPr>
          <w:p>
            <w:pPr>
              <w:spacing w:after="20"/>
            </w:pPr>
            <w:r/>
            <w:r>
              <w:rPr>
                <w:b w:val="0"/>
                <w:sz w:val="15"/>
              </w:rPr>
              <w:t xml:space="preserve">Jednostka [m]/[Hz]. Wartość: mediana nie więcej niż 0,30 m i percentyl 95 nie więcej niż 0,35 m. Poprawić uzasadnienie: wykrywanie przemieszczeń od 0,10 m opiera się na błędzie przemieszczenia względnego (mediana </w:t>
            </w:r>
            <w:r>
              <w:rPr>
                <w:b w:val="0"/>
                <w:sz w:val="15"/>
                <w:highlight w:val="yellow"/>
              </w:rPr>
              <w:t>0,03 m</w:t>
            </w:r>
            <w:r>
              <w:rPr>
                <w:b w:val="0"/>
                <w:sz w:val="15"/>
              </w:rPr>
              <w:t>), a nie na błędzie pozycji bezwzględnej. Weryfikacja: Z5 (rig) i Z9 (1000 pomiarów).</w:t>
            </w:r>
          </w:p>
        </w:tc>
        <w:tc>
          <w:tcPr>
            <w:tcW w:type="dxa" w:w="1247"/>
          </w:tcPr>
          <w:p>
            <w:pPr>
              <w:spacing w:after="20"/>
            </w:pPr>
            <w:r/>
            <w:r>
              <w:rPr>
                <w:b w:val="0"/>
                <w:sz w:val="15"/>
              </w:rPr>
              <w:t>K3-16, K3-17, K3-13; KM-Z5, KM-Z9</w:t>
            </w:r>
          </w:p>
        </w:tc>
        <w:tc>
          <w:tcPr>
            <w:tcW w:type="dxa" w:w="737"/>
          </w:tcPr>
          <w:p>
            <w:pPr>
              <w:spacing w:after="20"/>
            </w:pPr>
            <w:r/>
            <w:r>
              <w:rPr>
                <w:b w:val="0"/>
                <w:sz w:val="15"/>
              </w:rPr>
              <w:t>WYSOKI</w:t>
            </w:r>
          </w:p>
        </w:tc>
      </w:tr>
      <w:tr>
        <w:tc>
          <w:tcPr>
            <w:tcW w:type="dxa" w:w="567"/>
          </w:tcPr>
          <w:p>
            <w:pPr>
              <w:spacing w:after="20"/>
            </w:pPr>
            <w:r/>
            <w:r>
              <w:rPr>
                <w:b w:val="0"/>
                <w:sz w:val="15"/>
              </w:rPr>
              <w:t>N03</w:t>
            </w:r>
          </w:p>
        </w:tc>
        <w:tc>
          <w:tcPr>
            <w:tcW w:type="dxa" w:w="1871"/>
          </w:tcPr>
          <w:p>
            <w:pPr>
              <w:spacing w:after="20"/>
            </w:pPr>
            <w:r/>
            <w:r>
              <w:rPr>
                <w:b w:val="0"/>
                <w:sz w:val="15"/>
              </w:rPr>
              <w:t>1.2 Wskaźnik nr 2 (AUC-ROC): wartość bazowa i weryfikacja</w:t>
            </w:r>
          </w:p>
        </w:tc>
        <w:tc>
          <w:tcPr>
            <w:tcW w:type="dxa" w:w="2041"/>
          </w:tcPr>
          <w:p>
            <w:pPr>
              <w:spacing w:after="20"/>
            </w:pPr>
            <w:r/>
            <w:r>
              <w:rPr>
                <w:b w:val="0"/>
                <w:sz w:val="15"/>
              </w:rPr>
              <w:t>Baza AUC-ROC 0,50 (klasyfikator losowy); weryfikacja: „niezależna walidacja Everest11 na danych terenowych Z9”.</w:t>
            </w:r>
          </w:p>
        </w:tc>
        <w:tc>
          <w:tcPr>
            <w:tcW w:type="dxa" w:w="3175"/>
          </w:tcPr>
          <w:p>
            <w:pPr>
              <w:spacing w:after="20"/>
            </w:pPr>
            <w:r/>
            <w:r>
              <w:rPr>
                <w:b w:val="0"/>
                <w:sz w:val="15"/>
              </w:rPr>
              <w:t>Baza: wynik detektora progowego wg EN 12195-1 zmierzony na tym samym teście w Z4 (D16). Wartość docelowa 0,85 dotyczy modelu FP32 (KM-Z4); w Z9 model po kompresji nie mniej niż 0,82. Usunąć sformułowanie o niezależnej walidacji Everest11, zastąpić ścieżką audytu Z9.</w:t>
            </w:r>
          </w:p>
        </w:tc>
        <w:tc>
          <w:tcPr>
            <w:tcW w:type="dxa" w:w="1247"/>
          </w:tcPr>
          <w:p>
            <w:pPr>
              <w:spacing w:after="20"/>
            </w:pPr>
            <w:r/>
            <w:r>
              <w:rPr>
                <w:b w:val="0"/>
                <w:sz w:val="15"/>
              </w:rPr>
              <w:t>K1-03, K3-15, K3-19; D16, D22</w:t>
            </w:r>
          </w:p>
        </w:tc>
        <w:tc>
          <w:tcPr>
            <w:tcW w:type="dxa" w:w="737"/>
          </w:tcPr>
          <w:p>
            <w:pPr>
              <w:spacing w:after="20"/>
            </w:pPr>
            <w:r/>
            <w:r>
              <w:rPr>
                <w:b w:val="0"/>
                <w:sz w:val="15"/>
              </w:rPr>
              <w:t>WYSOKI</w:t>
            </w:r>
          </w:p>
        </w:tc>
      </w:tr>
      <w:tr>
        <w:tc>
          <w:tcPr>
            <w:tcW w:type="dxa" w:w="567"/>
          </w:tcPr>
          <w:p>
            <w:pPr>
              <w:spacing w:after="20"/>
            </w:pPr>
            <w:r/>
            <w:r>
              <w:rPr>
                <w:b w:val="0"/>
                <w:sz w:val="15"/>
              </w:rPr>
              <w:t>N04</w:t>
            </w:r>
          </w:p>
        </w:tc>
        <w:tc>
          <w:tcPr>
            <w:tcW w:type="dxa" w:w="1871"/>
          </w:tcPr>
          <w:p>
            <w:pPr>
              <w:spacing w:after="20"/>
            </w:pPr>
            <w:r/>
            <w:r>
              <w:rPr>
                <w:b w:val="0"/>
                <w:sz w:val="15"/>
              </w:rPr>
              <w:t>1.2 Wskaźnik nr 3 (mAP)</w:t>
            </w:r>
          </w:p>
        </w:tc>
        <w:tc>
          <w:tcPr>
            <w:tcW w:type="dxa" w:w="2041"/>
          </w:tcPr>
          <w:p>
            <w:pPr>
              <w:spacing w:after="20"/>
            </w:pPr>
            <w:r/>
            <w:r>
              <w:rPr>
                <w:b w:val="0"/>
                <w:sz w:val="15"/>
              </w:rPr>
              <w:t>Wartość bazowa „N/D” w jednym miejscu i „0%” w innym; weryfikacja: „ocena eksperta TSL Everest11 jako ground truth”.</w:t>
            </w:r>
          </w:p>
        </w:tc>
        <w:tc>
          <w:tcPr>
            <w:tcW w:type="dxa" w:w="3175"/>
          </w:tcPr>
          <w:p>
            <w:pPr>
              <w:spacing w:after="20"/>
            </w:pPr>
            <w:r/>
            <w:r>
              <w:rPr>
                <w:b w:val="0"/>
                <w:sz w:val="15"/>
              </w:rPr>
              <w:t>Ujednolicić bazę jako „brak systemu, wartość 0”. Podać mAP 0,75 dla FP32 i 0,72 po kompresji (Z9). Ground truth: inspekcje z Z2 i procedura ślepa z Z9, bez wskazywania jednej osoby.</w:t>
            </w:r>
          </w:p>
        </w:tc>
        <w:tc>
          <w:tcPr>
            <w:tcW w:type="dxa" w:w="1247"/>
          </w:tcPr>
          <w:p>
            <w:pPr>
              <w:spacing w:after="20"/>
            </w:pPr>
            <w:r/>
            <w:r>
              <w:rPr>
                <w:b w:val="0"/>
                <w:sz w:val="15"/>
              </w:rPr>
              <w:t>K3-15, K3-19; D05, D22</w:t>
            </w:r>
          </w:p>
        </w:tc>
        <w:tc>
          <w:tcPr>
            <w:tcW w:type="dxa" w:w="737"/>
          </w:tcPr>
          <w:p>
            <w:pPr>
              <w:spacing w:after="20"/>
            </w:pPr>
            <w:r/>
            <w:r>
              <w:rPr>
                <w:b w:val="0"/>
                <w:sz w:val="15"/>
              </w:rPr>
              <w:t>WYSOKI</w:t>
            </w:r>
          </w:p>
        </w:tc>
      </w:tr>
      <w:tr>
        <w:tc>
          <w:tcPr>
            <w:tcW w:type="dxa" w:w="567"/>
          </w:tcPr>
          <w:p>
            <w:pPr>
              <w:spacing w:after="20"/>
            </w:pPr>
            <w:r/>
            <w:r>
              <w:rPr>
                <w:b w:val="0"/>
                <w:sz w:val="15"/>
              </w:rPr>
              <w:t>N05</w:t>
            </w:r>
          </w:p>
        </w:tc>
        <w:tc>
          <w:tcPr>
            <w:tcW w:type="dxa" w:w="1871"/>
          </w:tcPr>
          <w:p>
            <w:pPr>
              <w:spacing w:after="20"/>
            </w:pPr>
            <w:r/>
            <w:r>
              <w:rPr>
                <w:b w:val="0"/>
                <w:sz w:val="15"/>
              </w:rPr>
              <w:t>1.2 Wskaźnik nr 4 (czas PoC i zgodność z eFTI)</w:t>
            </w:r>
          </w:p>
        </w:tc>
        <w:tc>
          <w:tcPr>
            <w:tcW w:type="dxa" w:w="2041"/>
          </w:tcPr>
          <w:p>
            <w:pPr>
              <w:spacing w:after="20"/>
            </w:pPr>
            <w:r/>
            <w:r>
              <w:rPr>
                <w:b w:val="0"/>
                <w:sz w:val="15"/>
              </w:rPr>
              <w:t>„Testy terenowe Z9 na min. 50 cyklach”; zgodność z polami eFTI ≥95% bez określenia mianownika.</w:t>
            </w:r>
          </w:p>
        </w:tc>
        <w:tc>
          <w:tcPr>
            <w:tcW w:type="dxa" w:w="3175"/>
          </w:tcPr>
          <w:p>
            <w:pPr>
              <w:spacing w:after="20"/>
            </w:pPr>
            <w:r/>
            <w:r>
              <w:rPr>
                <w:b w:val="0"/>
                <w:sz w:val="15"/>
              </w:rPr>
              <w:t xml:space="preserve">Z9: co najmniej 200 cykli. Doprecyzować: 95% wszystkich pól obligatoryjnych; zgodność treści PoL/PoC z ground truth co najmniej 90% </w:t>
            </w:r>
            <w:r>
              <w:rPr>
                <w:b w:val="0"/>
                <w:sz w:val="15"/>
                <w:highlight w:val="yellow"/>
              </w:rPr>
              <w:t>do potwierdzenia</w:t>
            </w:r>
            <w:r>
              <w:rPr>
                <w:b w:val="0"/>
                <w:sz w:val="15"/>
              </w:rPr>
              <w:t xml:space="preserve"> (KM-Z6).</w:t>
            </w:r>
          </w:p>
        </w:tc>
        <w:tc>
          <w:tcPr>
            <w:tcW w:type="dxa" w:w="1247"/>
          </w:tcPr>
          <w:p>
            <w:pPr>
              <w:spacing w:after="20"/>
            </w:pPr>
            <w:r/>
            <w:r>
              <w:rPr>
                <w:b w:val="0"/>
                <w:sz w:val="15"/>
              </w:rPr>
              <w:t>K3-20; KM-Z6, KM-Z9</w:t>
            </w:r>
          </w:p>
        </w:tc>
        <w:tc>
          <w:tcPr>
            <w:tcW w:type="dxa" w:w="737"/>
          </w:tcPr>
          <w:p>
            <w:pPr>
              <w:spacing w:after="20"/>
            </w:pPr>
            <w:r/>
            <w:r>
              <w:rPr>
                <w:b w:val="0"/>
                <w:sz w:val="15"/>
              </w:rPr>
              <w:t>ŚREDNI</w:t>
            </w:r>
          </w:p>
        </w:tc>
      </w:tr>
      <w:tr>
        <w:tc>
          <w:tcPr>
            <w:tcW w:type="dxa" w:w="567"/>
          </w:tcPr>
          <w:p>
            <w:pPr>
              <w:spacing w:after="20"/>
            </w:pPr>
            <w:r/>
            <w:r>
              <w:rPr>
                <w:b w:val="0"/>
                <w:sz w:val="15"/>
              </w:rPr>
              <w:t>N06</w:t>
            </w:r>
          </w:p>
        </w:tc>
        <w:tc>
          <w:tcPr>
            <w:tcW w:type="dxa" w:w="1871"/>
          </w:tcPr>
          <w:p>
            <w:pPr>
              <w:spacing w:after="20"/>
            </w:pPr>
            <w:r/>
            <w:r>
              <w:rPr>
                <w:b w:val="0"/>
                <w:sz w:val="15"/>
              </w:rPr>
              <w:t>1.2 Wskaźnik nr 5 (opóźnienie alertu): jednostka i baza</w:t>
            </w:r>
          </w:p>
        </w:tc>
        <w:tc>
          <w:tcPr>
            <w:tcW w:type="dxa" w:w="2041"/>
          </w:tcPr>
          <w:p>
            <w:pPr>
              <w:spacing w:after="20"/>
            </w:pPr>
            <w:r/>
            <w:r>
              <w:rPr>
                <w:b w:val="0"/>
                <w:sz w:val="15"/>
              </w:rPr>
              <w:t>Jednostka [ms], baza „≥300 000 ms”.</w:t>
            </w:r>
          </w:p>
        </w:tc>
        <w:tc>
          <w:tcPr>
            <w:tcW w:type="dxa" w:w="3175"/>
          </w:tcPr>
          <w:p>
            <w:pPr>
              <w:spacing w:after="20"/>
            </w:pPr>
            <w:r/>
            <w:r>
              <w:rPr>
                <w:b w:val="0"/>
                <w:sz w:val="15"/>
              </w:rPr>
              <w:t>Jednostka [s]: wartość docelowa 1 s (percentyl 95), baza 300 s. Dodać, że parametr jest mierzony po kompresji (Z7) i w terenie (Z9).</w:t>
            </w:r>
          </w:p>
        </w:tc>
        <w:tc>
          <w:tcPr>
            <w:tcW w:type="dxa" w:w="1247"/>
          </w:tcPr>
          <w:p>
            <w:pPr>
              <w:spacing w:after="20"/>
            </w:pPr>
            <w:r/>
            <w:r>
              <w:rPr>
                <w:b w:val="0"/>
                <w:sz w:val="15"/>
              </w:rPr>
              <w:t>Instrukcja (SI); K3-17; D18</w:t>
            </w:r>
          </w:p>
        </w:tc>
        <w:tc>
          <w:tcPr>
            <w:tcW w:type="dxa" w:w="737"/>
          </w:tcPr>
          <w:p>
            <w:pPr>
              <w:spacing w:after="20"/>
            </w:pPr>
            <w:r/>
            <w:r>
              <w:rPr>
                <w:b w:val="0"/>
                <w:sz w:val="15"/>
              </w:rPr>
              <w:t>ŚREDNI</w:t>
            </w:r>
          </w:p>
        </w:tc>
      </w:tr>
      <w:tr>
        <w:tc>
          <w:tcPr>
            <w:tcW w:type="dxa" w:w="567"/>
          </w:tcPr>
          <w:p>
            <w:pPr>
              <w:spacing w:after="20"/>
            </w:pPr>
            <w:r/>
            <w:r>
              <w:rPr>
                <w:b w:val="0"/>
                <w:sz w:val="15"/>
              </w:rPr>
              <w:t>N07</w:t>
            </w:r>
          </w:p>
        </w:tc>
        <w:tc>
          <w:tcPr>
            <w:tcW w:type="dxa" w:w="1871"/>
          </w:tcPr>
          <w:p>
            <w:pPr>
              <w:spacing w:after="20"/>
            </w:pPr>
            <w:r/>
            <w:r>
              <w:rPr>
                <w:b w:val="0"/>
                <w:sz w:val="15"/>
              </w:rPr>
              <w:t>1.4 Wskaźnik dodatkowy: pokrycie pól eFTI</w:t>
            </w:r>
          </w:p>
        </w:tc>
        <w:tc>
          <w:tcPr>
            <w:tcW w:type="dxa" w:w="2041"/>
          </w:tcPr>
          <w:p>
            <w:pPr>
              <w:spacing w:after="20"/>
            </w:pPr>
            <w:r/>
            <w:r>
              <w:rPr>
                <w:b w:val="0"/>
                <w:sz w:val="15"/>
              </w:rPr>
              <w:t>„potwierdzone audytem podwykonawcy prawnego”, „audyt prawny podwykonawcy (Z6)”.</w:t>
            </w:r>
          </w:p>
        </w:tc>
        <w:tc>
          <w:tcPr>
            <w:tcW w:type="dxa" w:w="3175"/>
          </w:tcPr>
          <w:p>
            <w:pPr>
              <w:spacing w:after="20"/>
            </w:pPr>
            <w:r/>
            <w:r>
              <w:rPr>
                <w:b w:val="0"/>
                <w:sz w:val="15"/>
              </w:rPr>
              <w:t>Usunąć podwykonawcę prawnego (nie ma go w budżecie). Metoda: test zgodności z implementacją referencyjną KE i walidacja XSD wykonane przez zespół Everest11 (Z6).</w:t>
            </w:r>
          </w:p>
        </w:tc>
        <w:tc>
          <w:tcPr>
            <w:tcW w:type="dxa" w:w="1247"/>
          </w:tcPr>
          <w:p>
            <w:pPr>
              <w:spacing w:after="20"/>
            </w:pPr>
            <w:r/>
            <w:r>
              <w:rPr>
                <w:b w:val="0"/>
                <w:sz w:val="15"/>
              </w:rPr>
              <w:t>K3-08, K3-45; opis Z6</w:t>
            </w:r>
          </w:p>
        </w:tc>
        <w:tc>
          <w:tcPr>
            <w:tcW w:type="dxa" w:w="737"/>
          </w:tcPr>
          <w:p>
            <w:pPr>
              <w:spacing w:after="20"/>
            </w:pPr>
            <w:r/>
            <w:r>
              <w:rPr>
                <w:b w:val="0"/>
                <w:sz w:val="15"/>
              </w:rPr>
              <w:t>WYSOKI</w:t>
            </w:r>
          </w:p>
        </w:tc>
      </w:tr>
      <w:tr>
        <w:tc>
          <w:tcPr>
            <w:tcW w:type="dxa" w:w="567"/>
          </w:tcPr>
          <w:p>
            <w:pPr>
              <w:spacing w:after="20"/>
            </w:pPr>
            <w:r/>
            <w:r>
              <w:rPr>
                <w:b w:val="0"/>
                <w:sz w:val="15"/>
              </w:rPr>
              <w:t>N08</w:t>
            </w:r>
          </w:p>
        </w:tc>
        <w:tc>
          <w:tcPr>
            <w:tcW w:type="dxa" w:w="1871"/>
          </w:tcPr>
          <w:p>
            <w:pPr>
              <w:spacing w:after="20"/>
            </w:pPr>
            <w:r/>
            <w:r>
              <w:rPr>
                <w:b w:val="0"/>
                <w:sz w:val="15"/>
              </w:rPr>
              <w:t>1.4 Wskaźnik dodatkowy: wykorzystanie kubatury (fill rate)</w:t>
            </w:r>
          </w:p>
        </w:tc>
        <w:tc>
          <w:tcPr>
            <w:tcW w:type="dxa" w:w="2041"/>
          </w:tcPr>
          <w:p>
            <w:pPr>
              <w:spacing w:after="20"/>
            </w:pPr>
            <w:r/>
            <w:r>
              <w:rPr>
                <w:b w:val="0"/>
                <w:sz w:val="15"/>
              </w:rPr>
              <w:t>Pomiar radarem mmWave na kursach floty w Z9; baza 65% (Eurostat 2024, źródło niezweryfikowane).</w:t>
            </w:r>
          </w:p>
        </w:tc>
        <w:tc>
          <w:tcPr>
            <w:tcW w:type="dxa" w:w="3175"/>
          </w:tcPr>
          <w:p>
            <w:pPr>
              <w:spacing w:after="20"/>
            </w:pPr>
            <w:r/>
            <w:r>
              <w:rPr>
                <w:b w:val="0"/>
                <w:sz w:val="15"/>
              </w:rPr>
              <w:t>Z9 zawiera teraz wskaźnik operacyjny (cel 80%), niebędący parametrem kamienia. Baza 65%: potwierdzić źródło (D20) albo przeformułować jako wartość mierzoną na tych samych pojazdach przed wdrożeniem.</w:t>
            </w:r>
          </w:p>
        </w:tc>
        <w:tc>
          <w:tcPr>
            <w:tcW w:type="dxa" w:w="1247"/>
          </w:tcPr>
          <w:p>
            <w:pPr>
              <w:spacing w:after="20"/>
            </w:pPr>
            <w:r/>
            <w:r>
              <w:rPr>
                <w:b w:val="0"/>
                <w:sz w:val="15"/>
              </w:rPr>
              <w:t>D20; opis Z9</w:t>
            </w:r>
          </w:p>
        </w:tc>
        <w:tc>
          <w:tcPr>
            <w:tcW w:type="dxa" w:w="737"/>
          </w:tcPr>
          <w:p>
            <w:pPr>
              <w:spacing w:after="20"/>
            </w:pPr>
            <w:r/>
            <w:r>
              <w:rPr>
                <w:b w:val="0"/>
                <w:sz w:val="15"/>
              </w:rPr>
              <w:t>ŚREDNI</w:t>
            </w:r>
          </w:p>
        </w:tc>
      </w:tr>
      <w:tr>
        <w:tc>
          <w:tcPr>
            <w:tcW w:type="dxa" w:w="567"/>
          </w:tcPr>
          <w:p>
            <w:pPr>
              <w:spacing w:after="20"/>
            </w:pPr>
            <w:r/>
            <w:r>
              <w:rPr>
                <w:b w:val="0"/>
                <w:sz w:val="15"/>
              </w:rPr>
              <w:t>N09</w:t>
            </w:r>
          </w:p>
        </w:tc>
        <w:tc>
          <w:tcPr>
            <w:tcW w:type="dxa" w:w="1871"/>
          </w:tcPr>
          <w:p>
            <w:pPr>
              <w:spacing w:after="20"/>
            </w:pPr>
            <w:r/>
            <w:r>
              <w:rPr>
                <w:b w:val="0"/>
                <w:sz w:val="15"/>
              </w:rPr>
              <w:t>1.1 Cel projektu, 1.2 Innowacyjność, opis prac Z2 i Z5 (wiersze z „0,5 g”)</w:t>
            </w:r>
          </w:p>
        </w:tc>
        <w:tc>
          <w:tcPr>
            <w:tcW w:type="dxa" w:w="2041"/>
          </w:tcPr>
          <w:p>
            <w:pPr>
              <w:spacing w:after="20"/>
            </w:pPr>
            <w:r/>
            <w:r>
              <w:rPr>
                <w:b w:val="0"/>
                <w:sz w:val="15"/>
              </w:rPr>
              <w:t>„amplitudy do 0,5 g”.</w:t>
            </w:r>
          </w:p>
        </w:tc>
        <w:tc>
          <w:tcPr>
            <w:tcW w:type="dxa" w:w="3175"/>
          </w:tcPr>
          <w:p>
            <w:pPr>
              <w:spacing w:after="20"/>
            </w:pPr>
            <w:r/>
            <w:r>
              <w:rPr>
                <w:b w:val="0"/>
                <w:sz w:val="15"/>
              </w:rPr>
              <w:t>Zapis w SI: „do 4,9 m/s2 (0,5 g)”, spójnie z KM-Z2, KM-Z5 i opisami zadań.</w:t>
            </w:r>
          </w:p>
        </w:tc>
        <w:tc>
          <w:tcPr>
            <w:tcW w:type="dxa" w:w="1247"/>
          </w:tcPr>
          <w:p>
            <w:pPr>
              <w:spacing w:after="20"/>
            </w:pPr>
            <w:r/>
            <w:r>
              <w:rPr>
                <w:b w:val="0"/>
                <w:sz w:val="15"/>
              </w:rPr>
              <w:t>D18</w:t>
            </w:r>
          </w:p>
        </w:tc>
        <w:tc>
          <w:tcPr>
            <w:tcW w:type="dxa" w:w="737"/>
          </w:tcPr>
          <w:p>
            <w:pPr>
              <w:spacing w:after="20"/>
            </w:pPr>
            <w:r/>
            <w:r>
              <w:rPr>
                <w:b w:val="0"/>
                <w:sz w:val="15"/>
              </w:rPr>
              <w:t>NISKI</w:t>
            </w:r>
          </w:p>
        </w:tc>
      </w:tr>
      <w:tr>
        <w:tc>
          <w:tcPr>
            <w:tcW w:type="dxa" w:w="567"/>
          </w:tcPr>
          <w:p>
            <w:pPr>
              <w:spacing w:after="20"/>
            </w:pPr>
            <w:r/>
            <w:r>
              <w:rPr>
                <w:b w:val="0"/>
                <w:sz w:val="15"/>
              </w:rPr>
              <w:t>N10</w:t>
            </w:r>
          </w:p>
        </w:tc>
        <w:tc>
          <w:tcPr>
            <w:tcW w:type="dxa" w:w="1871"/>
          </w:tcPr>
          <w:p>
            <w:pPr>
              <w:spacing w:after="20"/>
            </w:pPr>
            <w:r/>
            <w:r>
              <w:rPr>
                <w:b w:val="0"/>
                <w:sz w:val="15"/>
              </w:rPr>
              <w:t>3.1.1 Opisy zadań Z1-Z9 i kamienie milowe (pola zakresu, szczegółowego opisu, KM)</w:t>
            </w:r>
          </w:p>
        </w:tc>
        <w:tc>
          <w:tcPr>
            <w:tcW w:type="dxa" w:w="2041"/>
          </w:tcPr>
          <w:p>
            <w:pPr>
              <w:spacing w:after="20"/>
            </w:pPr>
            <w:r/>
            <w:r>
              <w:rPr>
                <w:b w:val="0"/>
                <w:sz w:val="15"/>
              </w:rPr>
              <w:t>Obecne teksty.</w:t>
            </w:r>
          </w:p>
        </w:tc>
        <w:tc>
          <w:tcPr>
            <w:tcW w:type="dxa" w:w="3175"/>
          </w:tcPr>
          <w:p>
            <w:pPr>
              <w:spacing w:after="20"/>
            </w:pPr>
            <w:r/>
            <w:r>
              <w:rPr>
                <w:b w:val="0"/>
                <w:sz w:val="15"/>
              </w:rPr>
              <w:t>Zastąpić tekstami z części pierwszej tego dokumentu.</w:t>
            </w:r>
          </w:p>
        </w:tc>
        <w:tc>
          <w:tcPr>
            <w:tcW w:type="dxa" w:w="1247"/>
          </w:tcPr>
          <w:p>
            <w:pPr>
              <w:spacing w:after="20"/>
            </w:pPr>
            <w:r/>
            <w:r>
              <w:rPr>
                <w:b w:val="0"/>
                <w:sz w:val="15"/>
              </w:rPr>
              <w:t>K3-01 do K3-22</w:t>
            </w:r>
          </w:p>
        </w:tc>
        <w:tc>
          <w:tcPr>
            <w:tcW w:type="dxa" w:w="737"/>
          </w:tcPr>
          <w:p>
            <w:pPr>
              <w:spacing w:after="20"/>
            </w:pPr>
            <w:r/>
            <w:r>
              <w:rPr>
                <w:b w:val="0"/>
                <w:sz w:val="15"/>
              </w:rPr>
              <w:t>WYSOKI</w:t>
            </w:r>
          </w:p>
        </w:tc>
      </w:tr>
      <w:tr>
        <w:tc>
          <w:tcPr>
            <w:tcW w:type="dxa" w:w="567"/>
          </w:tcPr>
          <w:p>
            <w:pPr>
              <w:spacing w:after="20"/>
            </w:pPr>
            <w:r/>
            <w:r>
              <w:rPr>
                <w:b w:val="0"/>
                <w:sz w:val="15"/>
              </w:rPr>
              <w:t>N11</w:t>
            </w:r>
          </w:p>
        </w:tc>
        <w:tc>
          <w:tcPr>
            <w:tcW w:type="dxa" w:w="1871"/>
          </w:tcPr>
          <w:p>
            <w:pPr>
              <w:spacing w:after="20"/>
            </w:pPr>
            <w:r/>
            <w:r>
              <w:rPr>
                <w:b w:val="0"/>
                <w:sz w:val="15"/>
              </w:rPr>
              <w:t>3.1.2 Uzasadnienie kosztu: AI Senior Engineer Z2</w:t>
            </w:r>
          </w:p>
        </w:tc>
        <w:tc>
          <w:tcPr>
            <w:tcW w:type="dxa" w:w="2041"/>
          </w:tcPr>
          <w:p>
            <w:pPr>
              <w:spacing w:after="20"/>
            </w:pPr>
            <w:r/>
            <w:r>
              <w:rPr>
                <w:b w:val="0"/>
                <w:sz w:val="15"/>
              </w:rPr>
              <w:t>„Opracuje specyfikację anotacji Instance Segmentation COCO dla podwykonawcy”.</w:t>
            </w:r>
          </w:p>
        </w:tc>
        <w:tc>
          <w:tcPr>
            <w:tcW w:type="dxa" w:w="3175"/>
          </w:tcPr>
          <w:p>
            <w:pPr>
              <w:spacing w:after="20"/>
            </w:pPr>
            <w:r/>
            <w:r>
              <w:rPr>
                <w:b w:val="0"/>
                <w:sz w:val="15"/>
              </w:rPr>
              <w:t>„dla anotatorów Everest11”. Anotacja jest realizowana przez personel Lidera.</w:t>
            </w:r>
          </w:p>
        </w:tc>
        <w:tc>
          <w:tcPr>
            <w:tcW w:type="dxa" w:w="1247"/>
          </w:tcPr>
          <w:p>
            <w:pPr>
              <w:spacing w:after="20"/>
            </w:pPr>
            <w:r/>
            <w:r>
              <w:rPr>
                <w:b w:val="0"/>
                <w:sz w:val="15"/>
              </w:rPr>
              <w:t>K3-10, K3-39; D21</w:t>
            </w:r>
          </w:p>
        </w:tc>
        <w:tc>
          <w:tcPr>
            <w:tcW w:type="dxa" w:w="737"/>
          </w:tcPr>
          <w:p>
            <w:pPr>
              <w:spacing w:after="20"/>
            </w:pPr>
            <w:r/>
            <w:r>
              <w:rPr>
                <w:b w:val="0"/>
                <w:sz w:val="15"/>
              </w:rPr>
              <w:t>WYSOKI</w:t>
            </w:r>
          </w:p>
        </w:tc>
      </w:tr>
      <w:tr>
        <w:tc>
          <w:tcPr>
            <w:tcW w:type="dxa" w:w="567"/>
          </w:tcPr>
          <w:p>
            <w:pPr>
              <w:spacing w:after="20"/>
            </w:pPr>
            <w:r/>
            <w:r>
              <w:rPr>
                <w:b w:val="0"/>
                <w:sz w:val="15"/>
              </w:rPr>
              <w:t>N12</w:t>
            </w:r>
          </w:p>
        </w:tc>
        <w:tc>
          <w:tcPr>
            <w:tcW w:type="dxa" w:w="1871"/>
          </w:tcPr>
          <w:p>
            <w:pPr>
              <w:spacing w:after="20"/>
            </w:pPr>
            <w:r/>
            <w:r>
              <w:rPr>
                <w:b w:val="0"/>
                <w:sz w:val="15"/>
              </w:rPr>
              <w:t>3.1.2 Uzasadnienie kosztu: Anotatorzy Z2</w:t>
            </w:r>
          </w:p>
        </w:tc>
        <w:tc>
          <w:tcPr>
            <w:tcW w:type="dxa" w:w="2041"/>
          </w:tcPr>
          <w:p>
            <w:pPr>
              <w:spacing w:after="20"/>
            </w:pPr>
            <w:r/>
            <w:r>
              <w:rPr>
                <w:b w:val="0"/>
                <w:sz w:val="15"/>
              </w:rPr>
              <w:t>Zakres i nakład „wg wolumenu”.</w:t>
            </w:r>
          </w:p>
        </w:tc>
        <w:tc>
          <w:tcPr>
            <w:tcW w:type="dxa" w:w="3175"/>
          </w:tcPr>
          <w:p>
            <w:pPr>
              <w:spacing w:after="20"/>
            </w:pPr>
            <w:r/>
            <w:r>
              <w:rPr>
                <w:b w:val="0"/>
                <w:sz w:val="15"/>
              </w:rPr>
              <w:t xml:space="preserve">3 osoby, 1,0 etatu, 10 miesięcy </w:t>
            </w:r>
            <w:r>
              <w:rPr>
                <w:b w:val="0"/>
                <w:sz w:val="15"/>
                <w:highlight w:val="yellow"/>
              </w:rPr>
              <w:t>M9-M18</w:t>
            </w:r>
            <w:r>
              <w:rPr>
                <w:b w:val="0"/>
                <w:sz w:val="15"/>
              </w:rPr>
              <w:t>, zakres jak w opisie Z2 (anotacja, zgłaszanie przypadków niejednoznacznych, udział w pomiarze zgodności). Zgodnie z nakładem 3200-3600 godzin w budżecie porównać z 3 x 10 x 168 godzin.</w:t>
            </w:r>
          </w:p>
        </w:tc>
        <w:tc>
          <w:tcPr>
            <w:tcW w:type="dxa" w:w="1247"/>
          </w:tcPr>
          <w:p>
            <w:pPr>
              <w:spacing w:after="20"/>
            </w:pPr>
            <w:r/>
            <w:r>
              <w:rPr>
                <w:b w:val="0"/>
                <w:sz w:val="15"/>
              </w:rPr>
              <w:t>K3-39, K5-03</w:t>
            </w:r>
          </w:p>
        </w:tc>
        <w:tc>
          <w:tcPr>
            <w:tcW w:type="dxa" w:w="737"/>
          </w:tcPr>
          <w:p>
            <w:pPr>
              <w:spacing w:after="20"/>
            </w:pPr>
            <w:r/>
            <w:r>
              <w:rPr>
                <w:b w:val="0"/>
                <w:sz w:val="15"/>
              </w:rPr>
              <w:t>WYSOKI</w:t>
            </w:r>
          </w:p>
        </w:tc>
      </w:tr>
      <w:tr>
        <w:tc>
          <w:tcPr>
            <w:tcW w:type="dxa" w:w="567"/>
          </w:tcPr>
          <w:p>
            <w:pPr>
              <w:spacing w:after="20"/>
            </w:pPr>
            <w:r/>
            <w:r>
              <w:rPr>
                <w:b w:val="0"/>
                <w:sz w:val="15"/>
              </w:rPr>
              <w:t>N13</w:t>
            </w:r>
          </w:p>
        </w:tc>
        <w:tc>
          <w:tcPr>
            <w:tcW w:type="dxa" w:w="1871"/>
          </w:tcPr>
          <w:p>
            <w:pPr>
              <w:spacing w:after="20"/>
            </w:pPr>
            <w:r/>
            <w:r>
              <w:rPr>
                <w:b w:val="0"/>
                <w:sz w:val="15"/>
              </w:rPr>
              <w:t>3.1.2 Uzasadnienie kosztu: Cybersecurity / AI Act Specialist Z9 (wiersz „przegląd prior art i analizę freedom-to-operate”, aktualizacja dokumentacji AI Act)</w:t>
            </w:r>
          </w:p>
        </w:tc>
        <w:tc>
          <w:tcPr>
            <w:tcW w:type="dxa" w:w="2041"/>
          </w:tcPr>
          <w:p>
            <w:pPr>
              <w:spacing w:after="20"/>
            </w:pPr>
            <w:r/>
            <w:r>
              <w:rPr>
                <w:b w:val="0"/>
                <w:sz w:val="15"/>
              </w:rPr>
              <w:t>Aktualizacja dokumentacji AI Act, integralność PoC, materiały do zgłoszenia EPO, prior art, FTO.</w:t>
            </w:r>
          </w:p>
        </w:tc>
        <w:tc>
          <w:tcPr>
            <w:tcW w:type="dxa" w:w="3175"/>
          </w:tcPr>
          <w:p>
            <w:pPr>
              <w:spacing w:after="20"/>
            </w:pPr>
            <w:r/>
            <w:r>
              <w:rPr>
                <w:b w:val="0"/>
                <w:sz w:val="15"/>
              </w:rPr>
              <w:t>Zostawić testy bezpieczeństwa prototypu w terenie i uruchamianie zamrożonego skryptu ewaluacyjnego (niezależny ewaluator). Usunąć AI Act, EPO, prior art, FTO (są w Z11 i poza B+R).</w:t>
            </w:r>
          </w:p>
        </w:tc>
        <w:tc>
          <w:tcPr>
            <w:tcW w:type="dxa" w:w="1247"/>
          </w:tcPr>
          <w:p>
            <w:pPr>
              <w:spacing w:after="20"/>
            </w:pPr>
            <w:r/>
            <w:r>
              <w:rPr>
                <w:b w:val="0"/>
                <w:sz w:val="15"/>
              </w:rPr>
              <w:t>K3-40, K3-66; D05</w:t>
            </w:r>
          </w:p>
        </w:tc>
        <w:tc>
          <w:tcPr>
            <w:tcW w:type="dxa" w:w="737"/>
          </w:tcPr>
          <w:p>
            <w:pPr>
              <w:spacing w:after="20"/>
            </w:pPr>
            <w:r/>
            <w:r>
              <w:rPr>
                <w:b w:val="0"/>
                <w:sz w:val="15"/>
              </w:rPr>
              <w:t>WYSOKI</w:t>
            </w:r>
          </w:p>
        </w:tc>
      </w:tr>
      <w:tr>
        <w:tc>
          <w:tcPr>
            <w:tcW w:type="dxa" w:w="567"/>
          </w:tcPr>
          <w:p>
            <w:pPr>
              <w:spacing w:after="20"/>
            </w:pPr>
            <w:r/>
            <w:r>
              <w:rPr>
                <w:b w:val="0"/>
                <w:sz w:val="15"/>
              </w:rPr>
              <w:t>N14</w:t>
            </w:r>
          </w:p>
        </w:tc>
        <w:tc>
          <w:tcPr>
            <w:tcW w:type="dxa" w:w="1871"/>
          </w:tcPr>
          <w:p>
            <w:pPr>
              <w:spacing w:after="20"/>
            </w:pPr>
            <w:r/>
            <w:r>
              <w:rPr>
                <w:b w:val="0"/>
                <w:sz w:val="15"/>
              </w:rPr>
              <w:t>3.1.2 Uzasadnienia kosztu: Cybersecurity Z2 i Z6</w:t>
            </w:r>
          </w:p>
        </w:tc>
        <w:tc>
          <w:tcPr>
            <w:tcW w:type="dxa" w:w="2041"/>
          </w:tcPr>
          <w:p>
            <w:pPr>
              <w:spacing w:after="20"/>
            </w:pPr>
            <w:r/>
            <w:r>
              <w:rPr>
                <w:b w:val="0"/>
                <w:sz w:val="15"/>
              </w:rPr>
              <w:t>Klasyfikacja ryzyka AI Act, karta oceny ryzyka, polityka RODO.</w:t>
            </w:r>
          </w:p>
        </w:tc>
        <w:tc>
          <w:tcPr>
            <w:tcW w:type="dxa" w:w="3175"/>
          </w:tcPr>
          <w:p>
            <w:pPr>
              <w:spacing w:after="20"/>
            </w:pPr>
            <w:r/>
            <w:r>
              <w:rPr>
                <w:b w:val="0"/>
                <w:sz w:val="15"/>
              </w:rPr>
              <w:t>Zostawić prace techniczne (szyfrowanie, klucze, pseudonimizacja, podpis, integralność). Usunąć dokumentację AI Act i politykę RODO z kosztów B+R (czynność przedwdrożeniowa).</w:t>
            </w:r>
          </w:p>
        </w:tc>
        <w:tc>
          <w:tcPr>
            <w:tcW w:type="dxa" w:w="1247"/>
          </w:tcPr>
          <w:p>
            <w:pPr>
              <w:spacing w:after="20"/>
            </w:pPr>
            <w:r/>
            <w:r>
              <w:rPr>
                <w:b w:val="0"/>
                <w:sz w:val="15"/>
              </w:rPr>
              <w:t>K3-38; 6.1 Maziarz</w:t>
            </w:r>
          </w:p>
        </w:tc>
        <w:tc>
          <w:tcPr>
            <w:tcW w:type="dxa" w:w="737"/>
          </w:tcPr>
          <w:p>
            <w:pPr>
              <w:spacing w:after="20"/>
            </w:pPr>
            <w:r/>
            <w:r>
              <w:rPr>
                <w:b w:val="0"/>
                <w:sz w:val="15"/>
              </w:rPr>
              <w:t>WYSOKI</w:t>
            </w:r>
          </w:p>
        </w:tc>
      </w:tr>
      <w:tr>
        <w:tc>
          <w:tcPr>
            <w:tcW w:type="dxa" w:w="567"/>
          </w:tcPr>
          <w:p>
            <w:pPr>
              <w:spacing w:after="20"/>
            </w:pPr>
            <w:r/>
            <w:r>
              <w:rPr>
                <w:b w:val="0"/>
                <w:sz w:val="15"/>
              </w:rPr>
              <w:t>N15</w:t>
            </w:r>
          </w:p>
        </w:tc>
        <w:tc>
          <w:tcPr>
            <w:tcW w:type="dxa" w:w="1871"/>
          </w:tcPr>
          <w:p>
            <w:pPr>
              <w:spacing w:after="20"/>
            </w:pPr>
            <w:r/>
            <w:r>
              <w:rPr>
                <w:b w:val="0"/>
                <w:sz w:val="15"/>
              </w:rPr>
              <w:t>3.1.2 Uzasadnienia kosztu: IT Specialist Z6 i Backend/Full-Stack Z6</w:t>
            </w:r>
          </w:p>
        </w:tc>
        <w:tc>
          <w:tcPr>
            <w:tcW w:type="dxa" w:w="2041"/>
          </w:tcPr>
          <w:p>
            <w:pPr>
              <w:spacing w:after="20"/>
            </w:pPr>
            <w:r/>
            <w:r>
              <w:rPr>
                <w:b w:val="0"/>
                <w:sz w:val="15"/>
              </w:rPr>
              <w:t>Trans.eu, TimoCom, e-CMR, „rozwój i utrzymanie” API, „w całości siłami własnymi Lidera”.</w:t>
            </w:r>
          </w:p>
        </w:tc>
        <w:tc>
          <w:tcPr>
            <w:tcW w:type="dxa" w:w="3175"/>
          </w:tcPr>
          <w:p>
            <w:pPr>
              <w:spacing w:after="20"/>
            </w:pPr>
            <w:r/>
            <w:r>
              <w:rPr>
                <w:b w:val="0"/>
                <w:sz w:val="15"/>
              </w:rPr>
              <w:t>Zastąpić zakresem z opisu Z6: pipeline i generator eFTI (IT), strumieniowy potok, kolejkowanie i test zgodności eFTI (Backend). Usunąć utrzymanie i integracje standardowe.</w:t>
            </w:r>
          </w:p>
        </w:tc>
        <w:tc>
          <w:tcPr>
            <w:tcW w:type="dxa" w:w="1247"/>
          </w:tcPr>
          <w:p>
            <w:pPr>
              <w:spacing w:after="20"/>
            </w:pPr>
            <w:r/>
            <w:r>
              <w:rPr>
                <w:b w:val="0"/>
                <w:sz w:val="15"/>
              </w:rPr>
              <w:t>K3-08, K3-38; D24</w:t>
            </w:r>
          </w:p>
        </w:tc>
        <w:tc>
          <w:tcPr>
            <w:tcW w:type="dxa" w:w="737"/>
          </w:tcPr>
          <w:p>
            <w:pPr>
              <w:spacing w:after="20"/>
            </w:pPr>
            <w:r/>
            <w:r>
              <w:rPr>
                <w:b w:val="0"/>
                <w:sz w:val="15"/>
              </w:rPr>
              <w:t>WYSOKI</w:t>
            </w:r>
          </w:p>
        </w:tc>
      </w:tr>
      <w:tr>
        <w:tc>
          <w:tcPr>
            <w:tcW w:type="dxa" w:w="567"/>
          </w:tcPr>
          <w:p>
            <w:pPr>
              <w:spacing w:after="20"/>
            </w:pPr>
            <w:r/>
            <w:r>
              <w:rPr>
                <w:b w:val="0"/>
                <w:sz w:val="15"/>
              </w:rPr>
              <w:t>N16</w:t>
            </w:r>
          </w:p>
        </w:tc>
        <w:tc>
          <w:tcPr>
            <w:tcW w:type="dxa" w:w="1871"/>
          </w:tcPr>
          <w:p>
            <w:pPr>
              <w:spacing w:after="20"/>
            </w:pPr>
            <w:r/>
            <w:r>
              <w:rPr>
                <w:b w:val="0"/>
                <w:sz w:val="15"/>
              </w:rPr>
              <w:t>3.1.2 Pozycje kosztowe Backend/Full-Stack: Z6 i Z9</w:t>
            </w:r>
          </w:p>
        </w:tc>
        <w:tc>
          <w:tcPr>
            <w:tcW w:type="dxa" w:w="2041"/>
          </w:tcPr>
          <w:p>
            <w:pPr>
              <w:spacing w:after="20"/>
            </w:pPr>
            <w:r/>
            <w:r>
              <w:rPr>
                <w:b w:val="0"/>
                <w:sz w:val="15"/>
              </w:rPr>
              <w:t>Jedna pozycja Z6 na 12 mc, 260 280 zł.</w:t>
            </w:r>
          </w:p>
        </w:tc>
        <w:tc>
          <w:tcPr>
            <w:tcW w:type="dxa" w:w="3175"/>
          </w:tcPr>
          <w:p>
            <w:pPr>
              <w:spacing w:after="20"/>
            </w:pPr>
            <w:r/>
            <w:r>
              <w:rPr>
                <w:b w:val="0"/>
                <w:sz w:val="15"/>
              </w:rPr>
              <w:t>Dwie pozycje: Z6 9 mc (195 210 zł) i Z9 3 mc (65 070 zł), suma bez zmian; opis Z9 w zakresie walidacji PoC i zgodności eFTI w terenie.</w:t>
            </w:r>
          </w:p>
        </w:tc>
        <w:tc>
          <w:tcPr>
            <w:tcW w:type="dxa" w:w="1247"/>
          </w:tcPr>
          <w:p>
            <w:pPr>
              <w:spacing w:after="20"/>
            </w:pPr>
            <w:r/>
            <w:r>
              <w:rPr>
                <w:b w:val="0"/>
                <w:sz w:val="15"/>
              </w:rPr>
              <w:t>K3-36, K3-37; D07</w:t>
            </w:r>
          </w:p>
        </w:tc>
        <w:tc>
          <w:tcPr>
            <w:tcW w:type="dxa" w:w="737"/>
          </w:tcPr>
          <w:p>
            <w:pPr>
              <w:spacing w:after="20"/>
            </w:pPr>
            <w:r/>
            <w:r>
              <w:rPr>
                <w:b w:val="0"/>
                <w:sz w:val="15"/>
              </w:rPr>
              <w:t>WYSOKI</w:t>
            </w:r>
          </w:p>
        </w:tc>
      </w:tr>
      <w:tr>
        <w:tc>
          <w:tcPr>
            <w:tcW w:type="dxa" w:w="567"/>
          </w:tcPr>
          <w:p>
            <w:pPr>
              <w:spacing w:after="20"/>
            </w:pPr>
            <w:r/>
            <w:r>
              <w:rPr>
                <w:b w:val="0"/>
                <w:sz w:val="15"/>
              </w:rPr>
              <w:t>N17</w:t>
            </w:r>
          </w:p>
        </w:tc>
        <w:tc>
          <w:tcPr>
            <w:tcW w:type="dxa" w:w="1871"/>
          </w:tcPr>
          <w:p>
            <w:pPr>
              <w:spacing w:after="20"/>
            </w:pPr>
            <w:r/>
            <w:r>
              <w:rPr>
                <w:b w:val="0"/>
                <w:sz w:val="15"/>
              </w:rPr>
              <w:t>3.1.2 IT Specialist Z9</w:t>
            </w:r>
          </w:p>
        </w:tc>
        <w:tc>
          <w:tcPr>
            <w:tcW w:type="dxa" w:w="2041"/>
          </w:tcPr>
          <w:p>
            <w:pPr>
              <w:spacing w:after="20"/>
            </w:pPr>
            <w:r/>
            <w:r>
              <w:rPr>
                <w:b w:val="0"/>
                <w:sz w:val="15"/>
              </w:rPr>
              <w:t>„hotfixy”, utrzymanie środowiska integracyjnego.</w:t>
            </w:r>
          </w:p>
        </w:tc>
        <w:tc>
          <w:tcPr>
            <w:tcW w:type="dxa" w:w="3175"/>
          </w:tcPr>
          <w:p>
            <w:pPr>
              <w:spacing w:after="20"/>
            </w:pPr>
            <w:r/>
            <w:r>
              <w:rPr>
                <w:b w:val="0"/>
                <w:sz w:val="15"/>
              </w:rPr>
              <w:t>Rejestracja i analiza danych KPI; poprawki tylko w oknie korekt w M30. Bez bieżącego utrzymania.</w:t>
            </w:r>
          </w:p>
        </w:tc>
        <w:tc>
          <w:tcPr>
            <w:tcW w:type="dxa" w:w="1247"/>
          </w:tcPr>
          <w:p>
            <w:pPr>
              <w:spacing w:after="20"/>
            </w:pPr>
            <w:r/>
            <w:r>
              <w:rPr>
                <w:b w:val="0"/>
                <w:sz w:val="15"/>
              </w:rPr>
              <w:t>K3-38; opis Z9</w:t>
            </w:r>
          </w:p>
        </w:tc>
        <w:tc>
          <w:tcPr>
            <w:tcW w:type="dxa" w:w="737"/>
          </w:tcPr>
          <w:p>
            <w:pPr>
              <w:spacing w:after="20"/>
            </w:pPr>
            <w:r/>
            <w:r>
              <w:rPr>
                <w:b w:val="0"/>
                <w:sz w:val="15"/>
              </w:rPr>
              <w:t>ŚREDNI</w:t>
            </w:r>
          </w:p>
        </w:tc>
      </w:tr>
      <w:tr>
        <w:tc>
          <w:tcPr>
            <w:tcW w:type="dxa" w:w="567"/>
          </w:tcPr>
          <w:p>
            <w:pPr>
              <w:spacing w:after="20"/>
            </w:pPr>
            <w:r/>
            <w:r>
              <w:rPr>
                <w:b w:val="0"/>
                <w:sz w:val="15"/>
              </w:rPr>
              <w:t>N18</w:t>
            </w:r>
          </w:p>
        </w:tc>
        <w:tc>
          <w:tcPr>
            <w:tcW w:type="dxa" w:w="1871"/>
          </w:tcPr>
          <w:p>
            <w:pPr>
              <w:spacing w:after="20"/>
            </w:pPr>
            <w:r/>
            <w:r>
              <w:rPr>
                <w:b w:val="0"/>
                <w:sz w:val="15"/>
              </w:rPr>
              <w:t>3.1.2 Sześć stanowisk Everest11 w Z6, Z7, Z9: metoda szacowania</w:t>
            </w:r>
          </w:p>
        </w:tc>
        <w:tc>
          <w:tcPr>
            <w:tcW w:type="dxa" w:w="2041"/>
          </w:tcPr>
          <w:p>
            <w:pPr>
              <w:spacing w:after="20"/>
            </w:pPr>
            <w:r/>
            <w:r>
              <w:rPr>
                <w:b w:val="0"/>
                <w:sz w:val="15"/>
              </w:rPr>
              <w:t>„12 mc fazy PR podzielone przez 3”.</w:t>
            </w:r>
          </w:p>
        </w:tc>
        <w:tc>
          <w:tcPr>
            <w:tcW w:type="dxa" w:w="3175"/>
          </w:tcPr>
          <w:p>
            <w:pPr>
              <w:spacing w:after="20"/>
            </w:pPr>
            <w:r/>
            <w:r>
              <w:rPr>
                <w:b w:val="0"/>
                <w:sz w:val="15"/>
              </w:rPr>
              <w:t>Rzeczywisty podział miesięcy lub godzin między zadania, przy zachowaniu sumy i etatu w każdym miesiącu (propozycja w bloku budżetowym).</w:t>
            </w:r>
          </w:p>
        </w:tc>
        <w:tc>
          <w:tcPr>
            <w:tcW w:type="dxa" w:w="1247"/>
          </w:tcPr>
          <w:p>
            <w:pPr>
              <w:spacing w:after="20"/>
            </w:pPr>
            <w:r/>
            <w:r>
              <w:rPr>
                <w:b w:val="0"/>
                <w:sz w:val="15"/>
              </w:rPr>
              <w:t>K3-36, K3-37; D29</w:t>
            </w:r>
          </w:p>
        </w:tc>
        <w:tc>
          <w:tcPr>
            <w:tcW w:type="dxa" w:w="737"/>
          </w:tcPr>
          <w:p>
            <w:pPr>
              <w:spacing w:after="20"/>
            </w:pPr>
            <w:r/>
            <w:r>
              <w:rPr>
                <w:b w:val="0"/>
                <w:sz w:val="15"/>
              </w:rPr>
              <w:t>WYSOKI</w:t>
            </w:r>
          </w:p>
        </w:tc>
      </w:tr>
      <w:tr>
        <w:tc>
          <w:tcPr>
            <w:tcW w:type="dxa" w:w="567"/>
          </w:tcPr>
          <w:p>
            <w:pPr>
              <w:spacing w:after="20"/>
            </w:pPr>
            <w:r/>
            <w:r>
              <w:rPr>
                <w:b w:val="0"/>
                <w:sz w:val="15"/>
              </w:rPr>
              <w:t>N19</w:t>
            </w:r>
          </w:p>
        </w:tc>
        <w:tc>
          <w:tcPr>
            <w:tcW w:type="dxa" w:w="1871"/>
          </w:tcPr>
          <w:p>
            <w:pPr>
              <w:spacing w:after="20"/>
            </w:pPr>
            <w:r/>
            <w:r>
              <w:rPr>
                <w:b w:val="0"/>
                <w:sz w:val="15"/>
              </w:rPr>
              <w:t>6.1 Jakub Kosterna (AI Lead): zakres obowiązków</w:t>
            </w:r>
          </w:p>
        </w:tc>
        <w:tc>
          <w:tcPr>
            <w:tcW w:type="dxa" w:w="2041"/>
          </w:tcPr>
          <w:p>
            <w:pPr>
              <w:spacing w:after="20"/>
            </w:pPr>
            <w:r/>
            <w:r>
              <w:rPr>
                <w:b w:val="0"/>
                <w:sz w:val="15"/>
              </w:rPr>
              <w:t>Przygotowanie dokumentacji technicznej do zgłoszenia patentowego.</w:t>
            </w:r>
          </w:p>
        </w:tc>
        <w:tc>
          <w:tcPr>
            <w:tcW w:type="dxa" w:w="3175"/>
          </w:tcPr>
          <w:p>
            <w:pPr>
              <w:spacing w:after="20"/>
            </w:pPr>
            <w:r/>
            <w:r>
              <w:rPr>
                <w:b w:val="0"/>
                <w:sz w:val="15"/>
              </w:rPr>
              <w:t>Usunąć lub opisać jako dostarczenie danych technicznych do rzecznika w Z11, poza kosztami Z9.</w:t>
            </w:r>
          </w:p>
        </w:tc>
        <w:tc>
          <w:tcPr>
            <w:tcW w:type="dxa" w:w="1247"/>
          </w:tcPr>
          <w:p>
            <w:pPr>
              <w:spacing w:after="20"/>
            </w:pPr>
            <w:r/>
            <w:r>
              <w:rPr>
                <w:b w:val="0"/>
                <w:sz w:val="15"/>
              </w:rPr>
              <w:t>K3-40, K3-66; D30</w:t>
            </w:r>
          </w:p>
        </w:tc>
        <w:tc>
          <w:tcPr>
            <w:tcW w:type="dxa" w:w="737"/>
          </w:tcPr>
          <w:p>
            <w:pPr>
              <w:spacing w:after="20"/>
            </w:pPr>
            <w:r/>
            <w:r>
              <w:rPr>
                <w:b w:val="0"/>
                <w:sz w:val="15"/>
              </w:rPr>
              <w:t>ŚREDNI</w:t>
            </w:r>
          </w:p>
        </w:tc>
      </w:tr>
      <w:tr>
        <w:tc>
          <w:tcPr>
            <w:tcW w:type="dxa" w:w="567"/>
          </w:tcPr>
          <w:p>
            <w:pPr>
              <w:spacing w:after="20"/>
            </w:pPr>
            <w:r/>
            <w:r>
              <w:rPr>
                <w:b w:val="0"/>
                <w:sz w:val="15"/>
              </w:rPr>
              <w:t>N20</w:t>
            </w:r>
          </w:p>
        </w:tc>
        <w:tc>
          <w:tcPr>
            <w:tcW w:type="dxa" w:w="1871"/>
          </w:tcPr>
          <w:p>
            <w:pPr>
              <w:spacing w:after="20"/>
            </w:pPr>
            <w:r/>
            <w:r>
              <w:rPr>
                <w:b w:val="0"/>
                <w:sz w:val="15"/>
              </w:rPr>
              <w:t>6.1 Michał Hajduk (specjalista TSL): zakres obowiązków</w:t>
            </w:r>
          </w:p>
        </w:tc>
        <w:tc>
          <w:tcPr>
            <w:tcW w:type="dxa" w:w="2041"/>
          </w:tcPr>
          <w:p>
            <w:pPr>
              <w:spacing w:after="20"/>
            </w:pPr>
            <w:r/>
            <w:r>
              <w:rPr>
                <w:b w:val="0"/>
                <w:sz w:val="15"/>
              </w:rPr>
              <w:t>Badanie akceptacji UX i ocena trafności alertów z perspektywy operacyjnej.</w:t>
            </w:r>
          </w:p>
        </w:tc>
        <w:tc>
          <w:tcPr>
            <w:tcW w:type="dxa" w:w="3175"/>
          </w:tcPr>
          <w:p>
            <w:pPr>
              <w:spacing w:after="20"/>
            </w:pPr>
            <w:r/>
            <w:r>
              <w:rPr>
                <w:b w:val="0"/>
                <w:sz w:val="15"/>
              </w:rPr>
              <w:t>Ground truth i scenariusze operacyjne; ocena trafności alertów skryptem, bez udziału pracownika odbiorcy wdrożenia; UX prowadzi AI Senior Engineer. Dodać deklarację poufności wobec podmiotów powiązanych (MJA Partners, Natanek Logistics).</w:t>
            </w:r>
          </w:p>
        </w:tc>
        <w:tc>
          <w:tcPr>
            <w:tcW w:type="dxa" w:w="1247"/>
          </w:tcPr>
          <w:p>
            <w:pPr>
              <w:spacing w:after="20"/>
            </w:pPr>
            <w:r/>
            <w:r>
              <w:rPr>
                <w:b w:val="0"/>
                <w:sz w:val="15"/>
              </w:rPr>
              <w:t>K3-11, K5-07; D05</w:t>
            </w:r>
          </w:p>
        </w:tc>
        <w:tc>
          <w:tcPr>
            <w:tcW w:type="dxa" w:w="737"/>
          </w:tcPr>
          <w:p>
            <w:pPr>
              <w:spacing w:after="20"/>
            </w:pPr>
            <w:r/>
            <w:r>
              <w:rPr>
                <w:b w:val="0"/>
                <w:sz w:val="15"/>
              </w:rPr>
              <w:t>WYSOKI</w:t>
            </w:r>
          </w:p>
        </w:tc>
      </w:tr>
      <w:tr>
        <w:tc>
          <w:tcPr>
            <w:tcW w:type="dxa" w:w="567"/>
          </w:tcPr>
          <w:p>
            <w:pPr>
              <w:spacing w:after="20"/>
            </w:pPr>
            <w:r/>
            <w:r>
              <w:rPr>
                <w:b w:val="0"/>
                <w:sz w:val="15"/>
              </w:rPr>
              <w:t>N21</w:t>
            </w:r>
          </w:p>
        </w:tc>
        <w:tc>
          <w:tcPr>
            <w:tcW w:type="dxa" w:w="1871"/>
          </w:tcPr>
          <w:p>
            <w:pPr>
              <w:spacing w:after="20"/>
            </w:pPr>
            <w:r/>
            <w:r>
              <w:rPr>
                <w:b w:val="0"/>
                <w:sz w:val="15"/>
              </w:rPr>
              <w:t>6.1 Personel planowany: Anotatorzy, Backend/Full-Stack</w:t>
            </w:r>
          </w:p>
        </w:tc>
        <w:tc>
          <w:tcPr>
            <w:tcW w:type="dxa" w:w="2041"/>
          </w:tcPr>
          <w:p>
            <w:pPr>
              <w:spacing w:after="20"/>
            </w:pPr>
            <w:r/>
            <w:r>
              <w:rPr>
                <w:b w:val="0"/>
                <w:sz w:val="15"/>
              </w:rPr>
              <w:t>Anotatorzy: M1-M18, „wymiar wg wolumenu”. Backend: Z2 (M13-M18) i Z6 (M19-M30), 18 mc.</w:t>
            </w:r>
          </w:p>
        </w:tc>
        <w:tc>
          <w:tcPr>
            <w:tcW w:type="dxa" w:w="3175"/>
          </w:tcPr>
          <w:p>
            <w:pPr>
              <w:spacing w:after="20"/>
            </w:pPr>
            <w:r/>
            <w:r>
              <w:rPr>
                <w:b w:val="0"/>
                <w:sz w:val="15"/>
              </w:rPr>
              <w:t>Anotatorzy: 3 osoby, 1,0 etatu, 10 mc [M9-M18]. Backend: Z2 6 mc, Z6 9 mc, Z9 3 mc, razem 18 mc.</w:t>
            </w:r>
          </w:p>
        </w:tc>
        <w:tc>
          <w:tcPr>
            <w:tcW w:type="dxa" w:w="1247"/>
          </w:tcPr>
          <w:p>
            <w:pPr>
              <w:spacing w:after="20"/>
            </w:pPr>
            <w:r/>
            <w:r>
              <w:rPr>
                <w:b w:val="0"/>
                <w:sz w:val="15"/>
              </w:rPr>
              <w:t>K5-03, K5-10, K5-11; D07</w:t>
            </w:r>
          </w:p>
        </w:tc>
        <w:tc>
          <w:tcPr>
            <w:tcW w:type="dxa" w:w="737"/>
          </w:tcPr>
          <w:p>
            <w:pPr>
              <w:spacing w:after="20"/>
            </w:pPr>
            <w:r/>
            <w:r>
              <w:rPr>
                <w:b w:val="0"/>
                <w:sz w:val="15"/>
              </w:rPr>
              <w:t>WYSOKI</w:t>
            </w:r>
          </w:p>
        </w:tc>
      </w:tr>
      <w:tr>
        <w:tc>
          <w:tcPr>
            <w:tcW w:type="dxa" w:w="567"/>
          </w:tcPr>
          <w:p>
            <w:pPr>
              <w:spacing w:after="20"/>
            </w:pPr>
            <w:r/>
            <w:r>
              <w:rPr>
                <w:b w:val="0"/>
                <w:sz w:val="15"/>
              </w:rPr>
              <w:t>N22</w:t>
            </w:r>
          </w:p>
        </w:tc>
        <w:tc>
          <w:tcPr>
            <w:tcW w:type="dxa" w:w="1871"/>
          </w:tcPr>
          <w:p>
            <w:pPr>
              <w:spacing w:after="20"/>
            </w:pPr>
            <w:r/>
            <w:r>
              <w:rPr>
                <w:b w:val="0"/>
                <w:sz w:val="15"/>
              </w:rPr>
              <w:t>6.1 Sposób zarządzania projektem (ścieżka decyzyjna)</w:t>
            </w:r>
          </w:p>
        </w:tc>
        <w:tc>
          <w:tcPr>
            <w:tcW w:type="dxa" w:w="2041"/>
          </w:tcPr>
          <w:p>
            <w:pPr>
              <w:spacing w:after="20"/>
            </w:pPr>
            <w:r/>
            <w:r>
              <w:rPr>
                <w:b w:val="0"/>
                <w:sz w:val="15"/>
              </w:rPr>
              <w:t>Brak komitetu sterującego i niezależnego nadzoru nad zadaniami PRz.</w:t>
            </w:r>
          </w:p>
        </w:tc>
        <w:tc>
          <w:tcPr>
            <w:tcW w:type="dxa" w:w="3175"/>
          </w:tcPr>
          <w:p>
            <w:pPr>
              <w:spacing w:after="20"/>
            </w:pPr>
            <w:r/>
            <w:r>
              <w:rPr>
                <w:b w:val="0"/>
                <w:sz w:val="15"/>
              </w:rPr>
              <w:t>Dopisać skład i rolę komitetu (kierownik zarządzający, kierownik B+R, przedstawiciel PRz), osobę weryfikującą i odbierającą każdy KM oraz niezależne przeliczenie metryk przez AI Lead Everest11.</w:t>
            </w:r>
          </w:p>
        </w:tc>
        <w:tc>
          <w:tcPr>
            <w:tcW w:type="dxa" w:w="1247"/>
          </w:tcPr>
          <w:p>
            <w:pPr>
              <w:spacing w:after="20"/>
            </w:pPr>
            <w:r/>
            <w:r>
              <w:rPr>
                <w:b w:val="0"/>
                <w:sz w:val="15"/>
              </w:rPr>
              <w:t>K5-05, K5-09; D27, D28</w:t>
            </w:r>
          </w:p>
        </w:tc>
        <w:tc>
          <w:tcPr>
            <w:tcW w:type="dxa" w:w="737"/>
          </w:tcPr>
          <w:p>
            <w:pPr>
              <w:spacing w:after="20"/>
            </w:pPr>
            <w:r/>
            <w:r>
              <w:rPr>
                <w:b w:val="0"/>
                <w:sz w:val="15"/>
              </w:rPr>
              <w:t>WYSOKI</w:t>
            </w:r>
          </w:p>
        </w:tc>
      </w:tr>
      <w:tr>
        <w:tc>
          <w:tcPr>
            <w:tcW w:type="dxa" w:w="567"/>
          </w:tcPr>
          <w:p>
            <w:pPr>
              <w:spacing w:after="20"/>
            </w:pPr>
            <w:r/>
            <w:r>
              <w:rPr>
                <w:b w:val="0"/>
                <w:sz w:val="15"/>
              </w:rPr>
              <w:t>N23</w:t>
            </w:r>
          </w:p>
        </w:tc>
        <w:tc>
          <w:tcPr>
            <w:tcW w:type="dxa" w:w="1871"/>
          </w:tcPr>
          <w:p>
            <w:pPr>
              <w:spacing w:after="20"/>
            </w:pPr>
            <w:r/>
            <w:r>
              <w:rPr>
                <w:b w:val="0"/>
                <w:sz w:val="15"/>
              </w:rPr>
              <w:t>6.2 Zasoby techniczne Everest11 (przeznaczenie)</w:t>
            </w:r>
          </w:p>
        </w:tc>
        <w:tc>
          <w:tcPr>
            <w:tcW w:type="dxa" w:w="2041"/>
          </w:tcPr>
          <w:p>
            <w:pPr>
              <w:spacing w:after="20"/>
            </w:pPr>
            <w:r/>
            <w:r>
              <w:rPr>
                <w:b w:val="0"/>
                <w:sz w:val="15"/>
              </w:rPr>
              <w:t>„koordynacja prac konsorcjum, zarządzanie projektem, integracja systemowa (API TMS, eFTI, e-CMR)”, „walidacja KPI w ruchu komercyjnym”.</w:t>
            </w:r>
          </w:p>
        </w:tc>
        <w:tc>
          <w:tcPr>
            <w:tcW w:type="dxa" w:w="3175"/>
          </w:tcPr>
          <w:p>
            <w:pPr>
              <w:spacing w:after="20"/>
            </w:pPr>
            <w:r/>
            <w:r>
              <w:rPr>
                <w:b w:val="0"/>
                <w:sz w:val="15"/>
              </w:rPr>
              <w:t>Opisać zasoby (stanowiska, serwery, repozytoria) bez funkcji koordynacyjnych w pracach B+R. „W ruchu komercyjnym” zamienić na „w eksploatacji na flocie testowej”. Dopisać parametry komputerów, serwerów i chmury (uwaga 14).</w:t>
            </w:r>
          </w:p>
        </w:tc>
        <w:tc>
          <w:tcPr>
            <w:tcW w:type="dxa" w:w="1247"/>
          </w:tcPr>
          <w:p>
            <w:pPr>
              <w:spacing w:after="20"/>
            </w:pPr>
            <w:r/>
            <w:r>
              <w:rPr>
                <w:b w:val="0"/>
                <w:sz w:val="15"/>
              </w:rPr>
              <w:t>K3-38, K5-14</w:t>
            </w:r>
          </w:p>
        </w:tc>
        <w:tc>
          <w:tcPr>
            <w:tcW w:type="dxa" w:w="737"/>
          </w:tcPr>
          <w:p>
            <w:pPr>
              <w:spacing w:after="20"/>
            </w:pPr>
            <w:r/>
            <w:r>
              <w:rPr>
                <w:b w:val="0"/>
                <w:sz w:val="15"/>
              </w:rPr>
              <w:t>ŚREDNI</w:t>
            </w:r>
          </w:p>
        </w:tc>
      </w:tr>
      <w:tr>
        <w:tc>
          <w:tcPr>
            <w:tcW w:type="dxa" w:w="567"/>
          </w:tcPr>
          <w:p>
            <w:pPr>
              <w:spacing w:after="20"/>
            </w:pPr>
            <w:r/>
            <w:r>
              <w:rPr>
                <w:b w:val="0"/>
                <w:sz w:val="15"/>
              </w:rPr>
              <w:t>N24</w:t>
            </w:r>
          </w:p>
        </w:tc>
        <w:tc>
          <w:tcPr>
            <w:tcW w:type="dxa" w:w="1871"/>
          </w:tcPr>
          <w:p>
            <w:pPr>
              <w:spacing w:after="20"/>
            </w:pPr>
            <w:r/>
            <w:r>
              <w:rPr>
                <w:b w:val="0"/>
                <w:sz w:val="15"/>
              </w:rPr>
              <w:t>5. Analiza ryzyka R3 (opis zapobiegania) i R8 (podwykonawstwo)</w:t>
            </w:r>
          </w:p>
        </w:tc>
        <w:tc>
          <w:tcPr>
            <w:tcW w:type="dxa" w:w="2041"/>
          </w:tcPr>
          <w:p>
            <w:pPr>
              <w:spacing w:after="20"/>
            </w:pPr>
            <w:r/>
            <w:r>
              <w:rPr>
                <w:b w:val="0"/>
                <w:sz w:val="15"/>
              </w:rPr>
              <w:t>R3: „z udziałem podwykonawcy anotacji”. R8: podwykonawstwo obejmuje anotację datasetu.</w:t>
            </w:r>
          </w:p>
        </w:tc>
        <w:tc>
          <w:tcPr>
            <w:tcW w:type="dxa" w:w="3175"/>
          </w:tcPr>
          <w:p>
            <w:pPr>
              <w:spacing w:after="20"/>
            </w:pPr>
            <w:r/>
            <w:r>
              <w:rPr>
                <w:b w:val="0"/>
                <w:sz w:val="15"/>
              </w:rPr>
              <w:t>Usunąć anotację z listy podwykonawstwa. R8: montaż (Z2, Z9) i rzecznik patentowy (Z11). Zastąpić R1-R5, R9 i dodać R10-R12 tekstami z części drugiej.</w:t>
            </w:r>
          </w:p>
        </w:tc>
        <w:tc>
          <w:tcPr>
            <w:tcW w:type="dxa" w:w="1247"/>
          </w:tcPr>
          <w:p>
            <w:pPr>
              <w:spacing w:after="20"/>
            </w:pPr>
            <w:r/>
            <w:r>
              <w:rPr>
                <w:b w:val="0"/>
                <w:sz w:val="15"/>
              </w:rPr>
              <w:t>K3-10, K3-46, K3-25 do K3-32</w:t>
            </w:r>
          </w:p>
        </w:tc>
        <w:tc>
          <w:tcPr>
            <w:tcW w:type="dxa" w:w="737"/>
          </w:tcPr>
          <w:p>
            <w:pPr>
              <w:spacing w:after="20"/>
            </w:pPr>
            <w:r/>
            <w:r>
              <w:rPr>
                <w:b w:val="0"/>
                <w:sz w:val="15"/>
              </w:rPr>
              <w:t>WYSOKI</w:t>
            </w:r>
          </w:p>
        </w:tc>
      </w:tr>
      <w:tr>
        <w:tc>
          <w:tcPr>
            <w:tcW w:type="dxa" w:w="567"/>
          </w:tcPr>
          <w:p>
            <w:pPr>
              <w:spacing w:after="20"/>
            </w:pPr>
            <w:r/>
            <w:r>
              <w:rPr>
                <w:b w:val="0"/>
                <w:sz w:val="15"/>
              </w:rPr>
              <w:t>N25</w:t>
            </w:r>
          </w:p>
        </w:tc>
        <w:tc>
          <w:tcPr>
            <w:tcW w:type="dxa" w:w="1871"/>
          </w:tcPr>
          <w:p>
            <w:pPr>
              <w:spacing w:after="20"/>
            </w:pPr>
            <w:r/>
            <w:r>
              <w:rPr>
                <w:b w:val="0"/>
                <w:sz w:val="15"/>
              </w:rPr>
              <w:t>3.1.1 Z9 (stary tekst): odbiór i niezależna walidacja</w:t>
            </w:r>
          </w:p>
        </w:tc>
        <w:tc>
          <w:tcPr>
            <w:tcW w:type="dxa" w:w="2041"/>
          </w:tcPr>
          <w:p>
            <w:pPr>
              <w:spacing w:after="20"/>
            </w:pPr>
            <w:r/>
            <w:r>
              <w:rPr>
                <w:b w:val="0"/>
                <w:sz w:val="15"/>
              </w:rPr>
              <w:t>Protokół podpisuje kierownik B+R i kluczowy personel PRz; „niezależna walidacja PRz na ≥180 kursach”.</w:t>
            </w:r>
          </w:p>
        </w:tc>
        <w:tc>
          <w:tcPr>
            <w:tcW w:type="dxa" w:w="3175"/>
          </w:tcPr>
          <w:p>
            <w:pPr>
              <w:spacing w:after="20"/>
            </w:pPr>
            <w:r/>
            <w:r>
              <w:rPr>
                <w:b w:val="0"/>
                <w:sz w:val="15"/>
              </w:rPr>
              <w:t>Zastąpione ścieżką audytu z nowego tekstu (PRz tylko odbiór metodyczny w Z8). Sprawdzić, czy zdanie nie zostało także w sekcjach 1.2 i 2.x.</w:t>
            </w:r>
          </w:p>
        </w:tc>
        <w:tc>
          <w:tcPr>
            <w:tcW w:type="dxa" w:w="1247"/>
          </w:tcPr>
          <w:p>
            <w:pPr>
              <w:spacing w:after="20"/>
            </w:pPr>
            <w:r/>
            <w:r>
              <w:rPr>
                <w:b w:val="0"/>
                <w:sz w:val="15"/>
              </w:rPr>
              <w:t>K3-11, K3-12; D25</w:t>
            </w:r>
          </w:p>
        </w:tc>
        <w:tc>
          <w:tcPr>
            <w:tcW w:type="dxa" w:w="737"/>
          </w:tcPr>
          <w:p>
            <w:pPr>
              <w:spacing w:after="20"/>
            </w:pPr>
            <w:r/>
            <w:r>
              <w:rPr>
                <w:b w:val="0"/>
                <w:sz w:val="15"/>
              </w:rPr>
              <w:t>WYSOKI</w:t>
            </w:r>
          </w:p>
        </w:tc>
      </w:tr>
      <w:tr>
        <w:tc>
          <w:tcPr>
            <w:tcW w:type="dxa" w:w="567"/>
          </w:tcPr>
          <w:p>
            <w:pPr>
              <w:spacing w:after="20"/>
            </w:pPr>
            <w:r/>
            <w:r>
              <w:rPr>
                <w:b w:val="0"/>
                <w:sz w:val="15"/>
              </w:rPr>
              <w:t>N26</w:t>
            </w:r>
          </w:p>
        </w:tc>
        <w:tc>
          <w:tcPr>
            <w:tcW w:type="dxa" w:w="1871"/>
          </w:tcPr>
          <w:p>
            <w:pPr>
              <w:spacing w:after="20"/>
            </w:pPr>
            <w:r/>
            <w:r>
              <w:rPr>
                <w:b w:val="0"/>
                <w:sz w:val="15"/>
              </w:rPr>
              <w:t>6.4 Podwykonawcy oraz pozycje podwykonawstwa Z2 (150 000 zł) i Z9 (70 000 zł)</w:t>
            </w:r>
          </w:p>
        </w:tc>
        <w:tc>
          <w:tcPr>
            <w:tcW w:type="dxa" w:w="2041"/>
          </w:tcPr>
          <w:p>
            <w:pPr>
              <w:spacing w:after="20"/>
            </w:pPr>
            <w:r/>
            <w:r>
              <w:rPr>
                <w:b w:val="0"/>
                <w:sz w:val="15"/>
              </w:rPr>
              <w:t>Brak kalkulacji i liczby ofert; wymagania dla niewybranego podwykonawcy.</w:t>
            </w:r>
          </w:p>
        </w:tc>
        <w:tc>
          <w:tcPr>
            <w:tcW w:type="dxa" w:w="3175"/>
          </w:tcPr>
          <w:p>
            <w:pPr>
              <w:spacing w:after="20"/>
            </w:pPr>
            <w:r/>
            <w:r>
              <w:rPr>
                <w:b w:val="0"/>
                <w:sz w:val="15"/>
              </w:rPr>
              <w:t>Uzupełnić: zakres (tylko montaż, instalacja, demontaż), liczba pojazdów, pracochłonność lub ryczałt, oferty, wybór kwoty; rozdzielenie Z2 i Z9. Wymagania minimalne wykonawcy.</w:t>
            </w:r>
          </w:p>
        </w:tc>
        <w:tc>
          <w:tcPr>
            <w:tcW w:type="dxa" w:w="1247"/>
          </w:tcPr>
          <w:p>
            <w:pPr>
              <w:spacing w:after="20"/>
            </w:pPr>
            <w:r/>
            <w:r>
              <w:rPr>
                <w:b w:val="0"/>
                <w:sz w:val="15"/>
              </w:rPr>
              <w:t>K3-43 do K3-46; D08</w:t>
            </w:r>
          </w:p>
        </w:tc>
        <w:tc>
          <w:tcPr>
            <w:tcW w:type="dxa" w:w="737"/>
          </w:tcPr>
          <w:p>
            <w:pPr>
              <w:spacing w:after="20"/>
            </w:pPr>
            <w:r/>
            <w:r>
              <w:rPr>
                <w:b w:val="0"/>
                <w:sz w:val="15"/>
              </w:rPr>
              <w:t>WYSOKI</w:t>
            </w:r>
          </w:p>
        </w:tc>
      </w:tr>
      <w:tr>
        <w:tc>
          <w:tcPr>
            <w:tcW w:type="dxa" w:w="567"/>
          </w:tcPr>
          <w:p>
            <w:pPr>
              <w:spacing w:after="20"/>
            </w:pPr>
            <w:r/>
            <w:r>
              <w:rPr>
                <w:b w:val="0"/>
                <w:sz w:val="15"/>
              </w:rPr>
              <w:t>N28</w:t>
            </w:r>
          </w:p>
        </w:tc>
        <w:tc>
          <w:tcPr>
            <w:tcW w:type="dxa" w:w="1871"/>
          </w:tcPr>
          <w:p>
            <w:pPr>
              <w:spacing w:after="20"/>
            </w:pPr>
            <w:r/>
            <w:r>
              <w:rPr>
                <w:b w:val="0"/>
                <w:sz w:val="15"/>
              </w:rPr>
              <w:t>3.1.2 AI Lead Z7, IoT Specialist Z9 oraz uzasadnienie kosztu edge AI w Z2 (wiersze „300 ms”)</w:t>
            </w:r>
          </w:p>
        </w:tc>
        <w:tc>
          <w:tcPr>
            <w:tcW w:type="dxa" w:w="2041"/>
          </w:tcPr>
          <w:p>
            <w:pPr>
              <w:spacing w:after="20"/>
            </w:pPr>
            <w:r/>
            <w:r>
              <w:rPr>
                <w:b w:val="0"/>
                <w:sz w:val="15"/>
              </w:rPr>
              <w:t>Opóźnienie alertu „≤300 ms” (AI Lead Z7: pogodzenie 300 ms z degradacją 3 pp; IoT Z9: percentyl 95 do 300 ms; edge AI Z2: alerty do 300 ms).</w:t>
            </w:r>
          </w:p>
        </w:tc>
        <w:tc>
          <w:tcPr>
            <w:tcW w:type="dxa" w:w="3175"/>
          </w:tcPr>
          <w:p>
            <w:pPr>
              <w:spacing w:after="20"/>
            </w:pPr>
            <w:r/>
            <w:r>
              <w:rPr>
                <w:b w:val="0"/>
                <w:sz w:val="15"/>
              </w:rPr>
              <w:t>Ujednolicić do 1 s (percentyl 95), zgodnie ze wskaźnikiem, KM-Z7 i KM-Z9. Nowe teksty uzasadnień są w części trzeciej.</w:t>
            </w:r>
          </w:p>
        </w:tc>
        <w:tc>
          <w:tcPr>
            <w:tcW w:type="dxa" w:w="1247"/>
          </w:tcPr>
          <w:p>
            <w:pPr>
              <w:spacing w:after="20"/>
            </w:pPr>
            <w:r/>
            <w:r>
              <w:rPr>
                <w:b w:val="0"/>
                <w:sz w:val="15"/>
              </w:rPr>
              <w:t>K3-13, K3-15; KM-Z7</w:t>
            </w:r>
          </w:p>
        </w:tc>
        <w:tc>
          <w:tcPr>
            <w:tcW w:type="dxa" w:w="737"/>
          </w:tcPr>
          <w:p>
            <w:pPr>
              <w:spacing w:after="20"/>
            </w:pPr>
            <w:r/>
            <w:r>
              <w:rPr>
                <w:b w:val="0"/>
                <w:sz w:val="15"/>
              </w:rPr>
              <w:t>WYSOKI</w:t>
            </w:r>
          </w:p>
        </w:tc>
      </w:tr>
      <w:tr>
        <w:tc>
          <w:tcPr>
            <w:tcW w:type="dxa" w:w="567"/>
          </w:tcPr>
          <w:p>
            <w:pPr>
              <w:spacing w:after="20"/>
            </w:pPr>
            <w:r/>
            <w:r>
              <w:rPr>
                <w:b w:val="0"/>
                <w:sz w:val="15"/>
              </w:rPr>
              <w:t>N27</w:t>
            </w:r>
          </w:p>
        </w:tc>
        <w:tc>
          <w:tcPr>
            <w:tcW w:type="dxa" w:w="1871"/>
          </w:tcPr>
          <w:p>
            <w:pPr>
              <w:spacing w:after="20"/>
            </w:pPr>
            <w:r/>
            <w:r>
              <w:rPr>
                <w:b w:val="0"/>
                <w:sz w:val="15"/>
              </w:rPr>
              <w:t>Model finansowy (Założenia, Rozliczenie dotacji)</w:t>
            </w:r>
          </w:p>
        </w:tc>
        <w:tc>
          <w:tcPr>
            <w:tcW w:type="dxa" w:w="2041"/>
          </w:tcPr>
          <w:p>
            <w:pPr>
              <w:spacing w:after="20"/>
            </w:pPr>
            <w:r/>
            <w:r>
              <w:rPr>
                <w:b w:val="0"/>
                <w:sz w:val="15"/>
              </w:rPr>
              <w:t>Komentarz „18 miesięcy” w Założeniach; liczby godzin i etatów jak w starej wersji budżetu.</w:t>
            </w:r>
          </w:p>
        </w:tc>
        <w:tc>
          <w:tcPr>
            <w:tcW w:type="dxa" w:w="3175"/>
          </w:tcPr>
          <w:p>
            <w:pPr>
              <w:spacing w:after="20"/>
            </w:pPr>
            <w:r/>
            <w:r>
              <w:rPr>
                <w:b w:val="0"/>
                <w:sz w:val="15"/>
              </w:rPr>
              <w:t>Poprawić na 30 miesięcy oraz uspójnić z nowym podziałem Backend Z6/Z9 (N16) i z podziałem N18.</w:t>
            </w:r>
          </w:p>
        </w:tc>
        <w:tc>
          <w:tcPr>
            <w:tcW w:type="dxa" w:w="1247"/>
          </w:tcPr>
          <w:p>
            <w:pPr>
              <w:spacing w:after="20"/>
            </w:pPr>
            <w:r/>
            <w:r>
              <w:rPr>
                <w:b w:val="0"/>
                <w:sz w:val="15"/>
              </w:rPr>
              <w:t>K3-36; uwaga ogólna o spójności</w:t>
            </w:r>
          </w:p>
        </w:tc>
        <w:tc>
          <w:tcPr>
            <w:tcW w:type="dxa" w:w="737"/>
          </w:tcPr>
          <w:p>
            <w:pPr>
              <w:spacing w:after="20"/>
            </w:pPr>
            <w:r/>
            <w:r>
              <w:rPr>
                <w:b w:val="0"/>
                <w:sz w:val="15"/>
              </w:rPr>
              <w:t>ŚREDNI</w:t>
            </w:r>
          </w:p>
        </w:tc>
      </w:tr>
    </w:tbl>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3876/4000</w:t>
            </w:r>
          </w:p>
        </w:tc>
        <w:tc>
          <w:tcPr>
            <w:tcW w:type="dxa" w:w="1134"/>
          </w:tcPr>
          <w:p>
            <w:pPr>
              <w:spacing w:after="20"/>
            </w:pPr>
            <w:r/>
            <w:r>
              <w:rPr>
                <w:b w:val="0"/>
                <w:sz w:val="17"/>
              </w:rPr>
              <w:t>362/500</w:t>
            </w:r>
          </w:p>
        </w:tc>
        <w:tc>
          <w:tcPr>
            <w:tcW w:type="dxa" w:w="1191"/>
          </w:tcPr>
          <w:p>
            <w:pPr>
              <w:spacing w:after="20"/>
            </w:pPr>
            <w:r/>
            <w:r>
              <w:rPr>
                <w:b w:val="0"/>
                <w:sz w:val="17"/>
              </w:rPr>
              <w:t>923/1300</w:t>
            </w:r>
          </w:p>
        </w:tc>
        <w:tc>
          <w:tcPr>
            <w:tcW w:type="dxa" w:w="1191"/>
          </w:tcPr>
          <w:p>
            <w:pPr>
              <w:spacing w:after="20"/>
            </w:pPr>
            <w:r/>
            <w:r>
              <w:rPr>
                <w:b w:val="0"/>
                <w:sz w:val="17"/>
              </w:rPr>
              <w:t>852/1300</w:t>
            </w:r>
          </w:p>
        </w:tc>
        <w:tc>
          <w:tcPr>
            <w:tcW w:type="dxa" w:w="1191"/>
          </w:tcPr>
          <w:p>
            <w:pPr>
              <w:spacing w:after="20"/>
            </w:pPr>
            <w:r/>
            <w:r>
              <w:rPr>
                <w:b w:val="0"/>
                <w:sz w:val="17"/>
              </w:rPr>
              <w:t>876/1300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794/1300</w:t>
            </w:r>
          </w:p>
        </w:tc>
        <w:tc>
          <w:tcPr>
            <w:tcW w:type="dxa" w:w="1191"/>
          </w:tcPr>
          <w:p>
            <w:pPr>
              <w:spacing w:after="20"/>
            </w:pPr>
            <w:r/>
            <w:r>
              <w:rPr>
                <w:b w:val="0"/>
                <w:sz w:val="17"/>
              </w:rPr>
              <w:t>710/1300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837/1300</w:t>
            </w:r>
          </w:p>
        </w:tc>
        <w:tc>
          <w:tcPr>
            <w:tcW w:type="dxa" w:w="1191"/>
          </w:tcPr>
          <w:p>
            <w:pPr>
              <w:spacing w:after="20"/>
            </w:pPr>
            <w:r/>
            <w:r>
              <w:rPr>
                <w:b w:val="0"/>
                <w:sz w:val="17"/>
              </w:rPr>
              <w:t>745/1300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789/1300</w:t>
            </w:r>
          </w:p>
        </w:tc>
        <w:tc>
          <w:tcPr>
            <w:tcW w:type="dxa" w:w="1191"/>
          </w:tcPr>
          <w:p>
            <w:pPr>
              <w:spacing w:after="20"/>
            </w:pPr>
            <w:r/>
            <w:r>
              <w:rPr>
                <w:b w:val="0"/>
                <w:sz w:val="17"/>
              </w:rPr>
              <w:t>868/1300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3170/4000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805/1300</w:t>
            </w:r>
          </w:p>
        </w:tc>
        <w:tc>
          <w:tcPr>
            <w:tcW w:type="dxa" w:w="1191"/>
          </w:tcPr>
          <w:p>
            <w:pPr>
              <w:spacing w:after="20"/>
            </w:pPr>
            <w:r/>
            <w:r>
              <w:rPr>
                <w:b w:val="0"/>
                <w:sz w:val="17"/>
              </w:rPr>
              <w:t>780/1300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3275/4000</w:t>
            </w:r>
          </w:p>
        </w:tc>
        <w:tc>
          <w:tcPr>
            <w:tcW w:type="dxa" w:w="1247"/>
          </w:tcPr>
          <w:p>
            <w:pPr>
              <w:spacing w:after="20"/>
            </w:pPr>
            <w:r/>
            <w:r>
              <w:rPr>
                <w:b w:val="0"/>
                <w:sz w:val="17"/>
              </w:rPr>
              <w:t>3098/4000</w:t>
            </w:r>
          </w:p>
        </w:tc>
        <w:tc>
          <w:tcPr>
            <w:tcW w:type="dxa" w:w="1134"/>
          </w:tcPr>
          <w:p>
            <w:pPr>
              <w:spacing w:after="20"/>
            </w:pPr>
            <w:r/>
            <w:r>
              <w:rPr>
                <w:b w:val="0"/>
                <w:sz w:val="17"/>
              </w:rPr>
              <w:t>268/500</w:t>
            </w:r>
          </w:p>
        </w:tc>
        <w:tc>
          <w:tcPr>
            <w:tcW w:type="dxa" w:w="1191"/>
          </w:tcPr>
          <w:p>
            <w:pPr>
              <w:spacing w:after="20"/>
            </w:pPr>
            <w:r/>
            <w:r>
              <w:rPr>
                <w:b w:val="0"/>
                <w:sz w:val="17"/>
              </w:rPr>
              <w:t>919/1300</w:t>
            </w:r>
          </w:p>
        </w:tc>
        <w:tc>
          <w:tcPr>
            <w:tcW w:type="dxa" w:w="1191"/>
          </w:tcPr>
          <w:p>
            <w:pPr>
              <w:spacing w:after="20"/>
            </w:pPr>
            <w:r/>
            <w:r>
              <w:rPr>
                <w:b w:val="0"/>
                <w:sz w:val="17"/>
              </w:rPr>
              <w:t>692/1300</w:t>
            </w:r>
          </w:p>
        </w:tc>
        <w:tc>
          <w:tcPr>
            <w:tcW w:type="dxa" w:w="1191"/>
          </w:tcPr>
          <w:p>
            <w:pPr>
              <w:spacing w:after="20"/>
            </w:pPr>
            <w:r/>
            <w:r>
              <w:rPr>
                <w:b w:val="0"/>
                <w:sz w:val="17"/>
              </w:rPr>
              <w:t>843/1300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3297/4000</w:t>
            </w:r>
          </w:p>
        </w:tc>
        <w:tc>
          <w:tcPr>
            <w:tcW w:type="dxa" w:w="1247"/>
          </w:tcPr>
          <w:p>
            <w:pPr>
              <w:spacing w:after="20"/>
            </w:pPr>
            <w:r/>
            <w:r>
              <w:rPr>
                <w:b w:val="0"/>
                <w:sz w:val="17"/>
              </w:rPr>
              <w:t>3267/4000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739/1300</w:t>
            </w:r>
          </w:p>
        </w:tc>
        <w:tc>
          <w:tcPr>
            <w:tcW w:type="dxa" w:w="1191"/>
          </w:tcPr>
          <w:p>
            <w:pPr>
              <w:spacing w:after="20"/>
            </w:pPr>
            <w:r/>
            <w:r>
              <w:rPr>
                <w:b w:val="0"/>
                <w:sz w:val="17"/>
              </w:rPr>
              <w:t>902/1300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778/1300</w:t>
            </w:r>
          </w:p>
        </w:tc>
        <w:tc>
          <w:tcPr>
            <w:tcW w:type="dxa" w:w="1191"/>
          </w:tcPr>
          <w:p>
            <w:pPr>
              <w:spacing w:after="20"/>
            </w:pPr>
            <w:r/>
            <w:r>
              <w:rPr>
                <w:b w:val="0"/>
                <w:sz w:val="17"/>
              </w:rPr>
              <w:t>871/1300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3959/4000</w:t>
            </w:r>
          </w:p>
        </w:tc>
        <w:tc>
          <w:tcPr>
            <w:tcW w:type="dxa" w:w="1247"/>
          </w:tcPr>
          <w:p>
            <w:pPr>
              <w:spacing w:after="20"/>
            </w:pPr>
            <w:r/>
            <w:r>
              <w:rPr>
                <w:b w:val="0"/>
                <w:sz w:val="17"/>
              </w:rPr>
              <w:t>3764/4000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851/1300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1334/2000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1683/2000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1329/2000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1424/2000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1317/2000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