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Komentarze do modelu finansowego PRz (wersja do wklejenia)</w:t>
      </w:r>
    </w:p>
    <w:p>
      <w:r>
        <w:rPr>
          <w:b w:val="0"/>
        </w:rPr>
        <w:t xml:space="preserve">Wniosek FENG.01.01-IP.01-A1RR/26, CargoDT. Dokument dotyczy wyłącznie modelu Politechniki Rzeszowskiej (plik Model_finansowy_CargoDT_PRz.xlsm po zmianach z 06.10.2026 r.: koszty pośrednie przeniesione do Pozostałych kosztów rodzajowych i stawka amortyzacji prac rozwojowych 0%, bez zmiany jakiejkolwiek kwoty). Model Lidera i jego komentarze omówimy w kolejnym kroku. Każdy tekst w części 4 zastępuje cały obecny tekst w polu Komentarz danego arkusza (komórka podana przy nazwie arkusza) i mieści się w limicie 10 000 znaków; liczba znaków jest przy każdym polu. </w:t>
      </w:r>
      <w:r>
        <w:rPr>
          <w:b/>
        </w:rPr>
        <w:t>Żółte fragmenty</w:t>
      </w:r>
      <w:r>
        <w:rPr>
          <w:b w:val="0"/>
        </w:rPr>
        <w:t xml:space="preserve"> to dane lub potwierdzenia, które może dać tylko PRz albo Ty, albo warianty zależne od Twojej decyzji (część 6). Przed wklejeniem usuń żółte nawiasy i uzupełnij lub usuń zaznaczone zdania. Liczby pochodzą z modelu po przeliczeniu, z wniosku w wersji C (2) z 06.10.2026 r. oraz z dokumentów PRz: sprawozdania za 2025 r. (MSiG nr 86/2026, poz. 21407), planu rzeczowo-finansowego na 2026 r. (zarządzenie Rektora nr 20/2026) i zestawienia amortyzacji.</w:t>
      </w:r>
    </w:p>
    <w:p>
      <w:pPr>
        <w:pStyle w:val="Heading1"/>
      </w:pPr>
      <w:r>
        <w:t>1. Co Instrukcja każe zapisać w komentarzach i gdzie to spełniono</w:t>
      </w:r>
    </w:p>
    <w:p>
      <w:pPr>
        <w:spacing w:after="60"/>
      </w:pPr>
      <w:r>
        <w:rPr>
          <w:b w:val="0"/>
        </w:rPr>
        <w:t>Zweryfikowałam Instrukcję Modelu Finansowego (wersja 3.0.37) pod kątem komentarzy: pkt 16 ogólnych zasad, opisy arkuszy i dodatkowe wymagania dla organizacji badawczych z prawną możliwością odzyskania VAT (PRz). Obecne komentarze PRz miały 400-1 200 znaków, nie zawierały wielu elementów z poniższej tabeli i miały kilka błędów (część 3). Nowe komentarze mają 2 200-5 900 znaków każdy.</w:t>
      </w:r>
    </w:p>
    <w:tbl>
      <w:tblPr>
        <w:tblStyle w:val="TableGrid"/>
        <w:tblW w:type="auto" w:w="0"/>
        <w:tblLook w:firstColumn="1" w:firstRow="1" w:lastColumn="0" w:lastRow="0" w:noHBand="0" w:noVBand="1" w:val="04A0"/>
      </w:tblPr>
      <w:tblGrid>
        <w:gridCol w:w="2409"/>
        <w:gridCol w:w="2409"/>
        <w:gridCol w:w="2409"/>
        <w:gridCol w:w="2409"/>
      </w:tblGrid>
      <w:tr>
        <w:tc>
          <w:tcPr>
            <w:tcW w:type="dxa" w:w="454"/>
          </w:tcPr>
          <w:p>
            <w:r/>
            <w:r>
              <w:rPr>
                <w:b/>
                <w:sz w:val="18"/>
              </w:rPr>
              <w:t>Nr</w:t>
            </w:r>
          </w:p>
        </w:tc>
        <w:tc>
          <w:tcPr>
            <w:tcW w:type="dxa" w:w="3628"/>
          </w:tcPr>
          <w:p>
            <w:r/>
            <w:r>
              <w:rPr>
                <w:b/>
                <w:sz w:val="18"/>
              </w:rPr>
              <w:t>Wymóg Instrukcji</w:t>
            </w:r>
          </w:p>
        </w:tc>
        <w:tc>
          <w:tcPr>
            <w:tcW w:type="dxa" w:w="1814"/>
          </w:tcPr>
          <w:p>
            <w:r/>
            <w:r>
              <w:rPr>
                <w:b/>
                <w:sz w:val="18"/>
              </w:rPr>
              <w:t>Źródło</w:t>
            </w:r>
          </w:p>
        </w:tc>
        <w:tc>
          <w:tcPr>
            <w:tcW w:type="dxa" w:w="3855"/>
          </w:tcPr>
          <w:p>
            <w:r/>
            <w:r>
              <w:rPr>
                <w:b/>
                <w:sz w:val="18"/>
              </w:rPr>
              <w:t>Gdzie w komentarzach</w:t>
            </w:r>
          </w:p>
        </w:tc>
      </w:tr>
      <w:tr>
        <w:tc>
          <w:tcPr>
            <w:tcW w:type="dxa" w:w="454"/>
          </w:tcPr>
          <w:p>
            <w:r/>
            <w:r>
              <w:rPr>
                <w:b w:val="0"/>
                <w:sz w:val="18"/>
              </w:rPr>
              <w:t>1</w:t>
            </w:r>
          </w:p>
        </w:tc>
        <w:tc>
          <w:tcPr>
            <w:tcW w:type="dxa" w:w="3628"/>
          </w:tcPr>
          <w:p>
            <w:r/>
            <w:r>
              <w:rPr>
                <w:b w:val="0"/>
                <w:sz w:val="18"/>
              </w:rPr>
              <w:t>Szczegółowy opis założeń do prognoz oraz wyników historycznych i prognozowanych, podstawowych pozycji bilansu i rachunku zysków i strat oraz źródeł finansowania</w:t>
            </w:r>
          </w:p>
        </w:tc>
        <w:tc>
          <w:tcPr>
            <w:tcW w:type="dxa" w:w="1814"/>
          </w:tcPr>
          <w:p>
            <w:r/>
            <w:r>
              <w:rPr>
                <w:b w:val="0"/>
                <w:sz w:val="18"/>
              </w:rPr>
              <w:t>pkt 16</w:t>
            </w:r>
          </w:p>
        </w:tc>
        <w:tc>
          <w:tcPr>
            <w:tcW w:type="dxa" w:w="3855"/>
          </w:tcPr>
          <w:p>
            <w:r/>
            <w:r>
              <w:rPr>
                <w:b w:val="0"/>
                <w:sz w:val="18"/>
              </w:rPr>
              <w:t>Wszystkie komentarze, w szczególności Sprawozdania finansowe, Przychody, Koszty operacyjne, Ocena kondycji</w:t>
            </w:r>
          </w:p>
        </w:tc>
      </w:tr>
      <w:tr>
        <w:tc>
          <w:tcPr>
            <w:tcW w:type="dxa" w:w="454"/>
          </w:tcPr>
          <w:p>
            <w:r/>
            <w:r>
              <w:rPr>
                <w:b w:val="0"/>
                <w:sz w:val="18"/>
              </w:rPr>
              <w:t>2</w:t>
            </w:r>
          </w:p>
        </w:tc>
        <w:tc>
          <w:tcPr>
            <w:tcW w:type="dxa" w:w="3628"/>
          </w:tcPr>
          <w:p>
            <w:r/>
            <w:r>
              <w:rPr>
                <w:b w:val="0"/>
                <w:sz w:val="18"/>
              </w:rPr>
              <w:t>Wyjaśnienie pozycji istotnie różniących się od przeciętnych oraz jednorazowych, które miały istotny wpływ na wyniki</w:t>
            </w:r>
          </w:p>
        </w:tc>
        <w:tc>
          <w:tcPr>
            <w:tcW w:type="dxa" w:w="1814"/>
          </w:tcPr>
          <w:p>
            <w:r/>
            <w:r>
              <w:rPr>
                <w:b w:val="0"/>
                <w:sz w:val="18"/>
              </w:rPr>
              <w:t>pkt 16</w:t>
            </w:r>
          </w:p>
        </w:tc>
        <w:tc>
          <w:tcPr>
            <w:tcW w:type="dxa" w:w="3855"/>
          </w:tcPr>
          <w:p>
            <w:r/>
            <w:r>
              <w:rPr>
                <w:b w:val="0"/>
                <w:sz w:val="18"/>
              </w:rPr>
              <w:t>Sprawozdania finansowe (odsetki 7 315 tys. zł, dotacje 10 134 tys. zł, zmiana stanu produktów minus 16 520 tys. zł), Koszty operacyjne (wzrost kosztów 2026 r. o 8,7%)</w:t>
            </w:r>
          </w:p>
        </w:tc>
      </w:tr>
      <w:tr>
        <w:tc>
          <w:tcPr>
            <w:tcW w:type="dxa" w:w="454"/>
          </w:tcPr>
          <w:p>
            <w:r/>
            <w:r>
              <w:rPr>
                <w:b w:val="0"/>
                <w:sz w:val="18"/>
              </w:rPr>
              <w:t>3</w:t>
            </w:r>
          </w:p>
        </w:tc>
        <w:tc>
          <w:tcPr>
            <w:tcW w:type="dxa" w:w="3628"/>
          </w:tcPr>
          <w:p>
            <w:r/>
            <w:r>
              <w:rPr>
                <w:b w:val="0"/>
                <w:sz w:val="18"/>
              </w:rPr>
              <w:t>Każdorazowe wyjaśnienie straty na sprzedaży lub straty brutto</w:t>
            </w:r>
          </w:p>
        </w:tc>
        <w:tc>
          <w:tcPr>
            <w:tcW w:type="dxa" w:w="1814"/>
          </w:tcPr>
          <w:p>
            <w:r/>
            <w:r>
              <w:rPr>
                <w:b w:val="0"/>
                <w:sz w:val="18"/>
              </w:rPr>
              <w:t>pkt 16</w:t>
            </w:r>
          </w:p>
        </w:tc>
        <w:tc>
          <w:tcPr>
            <w:tcW w:type="dxa" w:w="3855"/>
          </w:tcPr>
          <w:p>
            <w:r/>
            <w:r>
              <w:rPr>
                <w:b w:val="0"/>
                <w:sz w:val="18"/>
              </w:rPr>
              <w:t>Sprawozdania finansowe i Ocena kondycji (strata na sprzedaży 2025 r., minus 3 471 tys. zł; strata na sprzedaży Projektu)</w:t>
            </w:r>
          </w:p>
        </w:tc>
      </w:tr>
      <w:tr>
        <w:tc>
          <w:tcPr>
            <w:tcW w:type="dxa" w:w="454"/>
          </w:tcPr>
          <w:p>
            <w:r/>
            <w:r>
              <w:rPr>
                <w:b w:val="0"/>
                <w:sz w:val="18"/>
              </w:rPr>
              <w:t>4</w:t>
            </w:r>
          </w:p>
        </w:tc>
        <w:tc>
          <w:tcPr>
            <w:tcW w:type="dxa" w:w="3628"/>
          </w:tcPr>
          <w:p>
            <w:r/>
            <w:r>
              <w:rPr>
                <w:b w:val="0"/>
                <w:sz w:val="18"/>
              </w:rPr>
              <w:t>Dane historyczne, rok bieżący i prognoza do końca realizacji projektu, bez danych po zakończeniu projektu (organizacje badawcze z odzyskiwanym VAT)</w:t>
            </w:r>
          </w:p>
        </w:tc>
        <w:tc>
          <w:tcPr>
            <w:tcW w:type="dxa" w:w="1814"/>
          </w:tcPr>
          <w:p>
            <w:r/>
            <w:r>
              <w:rPr>
                <w:b w:val="0"/>
                <w:sz w:val="18"/>
              </w:rPr>
              <w:t>pkt 5b</w:t>
            </w:r>
          </w:p>
        </w:tc>
        <w:tc>
          <w:tcPr>
            <w:tcW w:type="dxa" w:w="3855"/>
          </w:tcPr>
          <w:p>
            <w:r/>
            <w:r>
              <w:rPr>
                <w:b w:val="0"/>
                <w:sz w:val="18"/>
              </w:rPr>
              <w:t>Założenia (okres prognozy), Opłacalność. Model zawiera 2025 r. (uproszczona sprawozdawczość organizacji badawczej; decyzja właścicielki), a dane 2024 r. podano w komentarzu Sprawozdań</w:t>
            </w:r>
          </w:p>
        </w:tc>
      </w:tr>
      <w:tr>
        <w:tc>
          <w:tcPr>
            <w:tcW w:type="dxa" w:w="454"/>
          </w:tcPr>
          <w:p>
            <w:r/>
            <w:r>
              <w:rPr>
                <w:b w:val="0"/>
                <w:sz w:val="18"/>
              </w:rPr>
              <w:t>5</w:t>
            </w:r>
          </w:p>
        </w:tc>
        <w:tc>
          <w:tcPr>
            <w:tcW w:type="dxa" w:w="3628"/>
          </w:tcPr>
          <w:p>
            <w:r/>
            <w:r>
              <w:rPr>
                <w:b w:val="0"/>
                <w:sz w:val="18"/>
              </w:rPr>
              <w:t>Informacja o roku obrotowym innym niż 12 miesięcy; dane w tys. zł, kwoty netto dla płatnika VAT, ceny stałe</w:t>
            </w:r>
          </w:p>
        </w:tc>
        <w:tc>
          <w:tcPr>
            <w:tcW w:type="dxa" w:w="1814"/>
          </w:tcPr>
          <w:p>
            <w:r/>
            <w:r>
              <w:rPr>
                <w:b w:val="0"/>
                <w:sz w:val="18"/>
              </w:rPr>
              <w:t>pkt 7, 8, 12, 14</w:t>
            </w:r>
          </w:p>
        </w:tc>
        <w:tc>
          <w:tcPr>
            <w:tcW w:type="dxa" w:w="3855"/>
          </w:tcPr>
          <w:p>
            <w:r/>
            <w:r>
              <w:rPr>
                <w:b w:val="0"/>
                <w:sz w:val="18"/>
              </w:rPr>
              <w:t>Założenia</w:t>
            </w:r>
          </w:p>
        </w:tc>
      </w:tr>
      <w:tr>
        <w:tc>
          <w:tcPr>
            <w:tcW w:type="dxa" w:w="454"/>
          </w:tcPr>
          <w:p>
            <w:r/>
            <w:r>
              <w:rPr>
                <w:b w:val="0"/>
                <w:sz w:val="18"/>
              </w:rPr>
              <w:t>6</w:t>
            </w:r>
          </w:p>
        </w:tc>
        <w:tc>
          <w:tcPr>
            <w:tcW w:type="dxa" w:w="3628"/>
          </w:tcPr>
          <w:p>
            <w:r/>
            <w:r>
              <w:rPr>
                <w:b w:val="0"/>
                <w:sz w:val="18"/>
              </w:rPr>
              <w:t>Zaokrąglenia do 1 tys. zł mogą dać drobne różnice</w:t>
            </w:r>
          </w:p>
        </w:tc>
        <w:tc>
          <w:tcPr>
            <w:tcW w:type="dxa" w:w="1814"/>
          </w:tcPr>
          <w:p>
            <w:r/>
            <w:r>
              <w:rPr>
                <w:b w:val="0"/>
                <w:sz w:val="18"/>
              </w:rPr>
              <w:t>pkt 11</w:t>
            </w:r>
          </w:p>
        </w:tc>
        <w:tc>
          <w:tcPr>
            <w:tcW w:type="dxa" w:w="3855"/>
          </w:tcPr>
          <w:p>
            <w:r/>
            <w:r>
              <w:rPr>
                <w:b w:val="0"/>
                <w:sz w:val="18"/>
              </w:rPr>
              <w:t>Sprawozdania finansowe, Rozliczenie dotacji, Opłacalność (1 035 tys. zł wobec 1 033,97 tys. zł)</w:t>
            </w:r>
          </w:p>
        </w:tc>
      </w:tr>
      <w:tr>
        <w:tc>
          <w:tcPr>
            <w:tcW w:type="dxa" w:w="454"/>
          </w:tcPr>
          <w:p>
            <w:r/>
            <w:r>
              <w:rPr>
                <w:b w:val="0"/>
                <w:sz w:val="18"/>
              </w:rPr>
              <w:t>7</w:t>
            </w:r>
          </w:p>
        </w:tc>
        <w:tc>
          <w:tcPr>
            <w:tcW w:type="dxa" w:w="3628"/>
          </w:tcPr>
          <w:p>
            <w:r/>
            <w:r>
              <w:rPr>
                <w:b w:val="0"/>
                <w:sz w:val="18"/>
              </w:rPr>
              <w:t>Źródła pokrycia VAT od zakupów do momentu jego odzyskania</w:t>
            </w:r>
          </w:p>
        </w:tc>
        <w:tc>
          <w:tcPr>
            <w:tcW w:type="dxa" w:w="1814"/>
          </w:tcPr>
          <w:p>
            <w:r/>
            <w:r>
              <w:rPr>
                <w:b w:val="0"/>
                <w:sz w:val="18"/>
              </w:rPr>
              <w:t>pkt 13</w:t>
            </w:r>
          </w:p>
        </w:tc>
        <w:tc>
          <w:tcPr>
            <w:tcW w:type="dxa" w:w="3855"/>
          </w:tcPr>
          <w:p>
            <w:r/>
            <w:r>
              <w:rPr>
                <w:b w:val="0"/>
                <w:sz w:val="18"/>
              </w:rPr>
              <w:t>Finansowanie (VAT 33 971 zł od aparatury), Koszty operacyjne, Środki trwałe</w:t>
            </w:r>
          </w:p>
        </w:tc>
      </w:tr>
      <w:tr>
        <w:tc>
          <w:tcPr>
            <w:tcW w:type="dxa" w:w="454"/>
          </w:tcPr>
          <w:p>
            <w:r/>
            <w:r>
              <w:rPr>
                <w:b w:val="0"/>
                <w:sz w:val="18"/>
              </w:rPr>
              <w:t>8</w:t>
            </w:r>
          </w:p>
        </w:tc>
        <w:tc>
          <w:tcPr>
            <w:tcW w:type="dxa" w:w="3628"/>
          </w:tcPr>
          <w:p>
            <w:r/>
            <w:r>
              <w:rPr>
                <w:b w:val="0"/>
                <w:sz w:val="18"/>
              </w:rPr>
              <w:t>Opis założeń z arkusza Założenia (stopa podatku, rotacja, stawki amortyzacji, oprocentowanie); wyjaśnienie różnicy rotacji Projektu i działalności dotychczasowej</w:t>
            </w:r>
          </w:p>
        </w:tc>
        <w:tc>
          <w:tcPr>
            <w:tcW w:type="dxa" w:w="1814"/>
          </w:tcPr>
          <w:p>
            <w:r/>
            <w:r>
              <w:rPr>
                <w:b w:val="0"/>
                <w:sz w:val="18"/>
              </w:rPr>
              <w:t>opis arkusza Założenia</w:t>
            </w:r>
          </w:p>
        </w:tc>
        <w:tc>
          <w:tcPr>
            <w:tcW w:type="dxa" w:w="3855"/>
          </w:tcPr>
          <w:p>
            <w:r/>
            <w:r>
              <w:rPr>
                <w:b w:val="0"/>
                <w:sz w:val="18"/>
              </w:rPr>
              <w:t>Założenia, Kapitał pracujący</w:t>
            </w:r>
          </w:p>
        </w:tc>
      </w:tr>
      <w:tr>
        <w:tc>
          <w:tcPr>
            <w:tcW w:type="dxa" w:w="454"/>
          </w:tcPr>
          <w:p>
            <w:r/>
            <w:r>
              <w:rPr>
                <w:b w:val="0"/>
                <w:sz w:val="18"/>
              </w:rPr>
              <w:t>9</w:t>
            </w:r>
          </w:p>
        </w:tc>
        <w:tc>
          <w:tcPr>
            <w:tcW w:type="dxa" w:w="3628"/>
          </w:tcPr>
          <w:p>
            <w:r/>
            <w:r>
              <w:rPr>
                <w:b w:val="0"/>
                <w:sz w:val="18"/>
              </w:rPr>
              <w:t>Przychody: dane zagregowane z wszystkich źródeł, wzrost o stopę dyskonta wymaga informacji w komentarzu</w:t>
            </w:r>
          </w:p>
        </w:tc>
        <w:tc>
          <w:tcPr>
            <w:tcW w:type="dxa" w:w="1814"/>
          </w:tcPr>
          <w:p>
            <w:r/>
            <w:r>
              <w:rPr>
                <w:b w:val="0"/>
                <w:sz w:val="18"/>
              </w:rPr>
              <w:t>Przychody, organizacje badawcze</w:t>
            </w:r>
          </w:p>
        </w:tc>
        <w:tc>
          <w:tcPr>
            <w:tcW w:type="dxa" w:w="3855"/>
          </w:tcPr>
          <w:p>
            <w:r/>
            <w:r>
              <w:rPr>
                <w:b w:val="0"/>
                <w:sz w:val="18"/>
              </w:rPr>
              <w:t>Przychody</w:t>
            </w:r>
          </w:p>
        </w:tc>
      </w:tr>
      <w:tr>
        <w:tc>
          <w:tcPr>
            <w:tcW w:type="dxa" w:w="454"/>
          </w:tcPr>
          <w:p>
            <w:r/>
            <w:r>
              <w:rPr>
                <w:b w:val="0"/>
                <w:sz w:val="18"/>
              </w:rPr>
              <w:t>10</w:t>
            </w:r>
          </w:p>
        </w:tc>
        <w:tc>
          <w:tcPr>
            <w:tcW w:type="dxa" w:w="3628"/>
          </w:tcPr>
          <w:p>
            <w:r/>
            <w:r>
              <w:rPr>
                <w:b w:val="0"/>
                <w:sz w:val="18"/>
              </w:rPr>
              <w:t>Ciągłość danych historycznych i prognozowanych; istotne różnice trzeba szczegółowo uzasadnić</w:t>
            </w:r>
          </w:p>
        </w:tc>
        <w:tc>
          <w:tcPr>
            <w:tcW w:type="dxa" w:w="1814"/>
          </w:tcPr>
          <w:p>
            <w:r/>
            <w:r>
              <w:rPr>
                <w:b w:val="0"/>
                <w:sz w:val="18"/>
              </w:rPr>
              <w:t>Przychody i Koszty operacyjne (uwaga)</w:t>
            </w:r>
          </w:p>
        </w:tc>
        <w:tc>
          <w:tcPr>
            <w:tcW w:type="dxa" w:w="3855"/>
          </w:tcPr>
          <w:p>
            <w:r/>
            <w:r>
              <w:rPr>
                <w:b w:val="0"/>
                <w:sz w:val="18"/>
              </w:rPr>
              <w:t>Przychody, Koszty operacyjne (porównanie 2025 r. z planem 2026 r., przejście 362 162 i 378 682 tys. zł)</w:t>
            </w:r>
          </w:p>
        </w:tc>
      </w:tr>
      <w:tr>
        <w:tc>
          <w:tcPr>
            <w:tcW w:type="dxa" w:w="454"/>
          </w:tcPr>
          <w:p>
            <w:r/>
            <w:r>
              <w:rPr>
                <w:b w:val="0"/>
                <w:sz w:val="18"/>
              </w:rPr>
              <w:t>11</w:t>
            </w:r>
          </w:p>
        </w:tc>
        <w:tc>
          <w:tcPr>
            <w:tcW w:type="dxa" w:w="3628"/>
          </w:tcPr>
          <w:p>
            <w:r/>
            <w:r>
              <w:rPr>
                <w:b w:val="0"/>
                <w:sz w:val="18"/>
              </w:rPr>
              <w:t>Przy finansowaniu z bieżącej działalności: szczegółowa metodyka prognozy przychodów, dane ilościowe i jakościowe, uzasadnienie znaczącego wzrostu</w:t>
            </w:r>
          </w:p>
        </w:tc>
        <w:tc>
          <w:tcPr>
            <w:tcW w:type="dxa" w:w="1814"/>
          </w:tcPr>
          <w:p>
            <w:r/>
            <w:r>
              <w:rPr>
                <w:b w:val="0"/>
                <w:sz w:val="18"/>
              </w:rPr>
              <w:t>Finansowanie</w:t>
            </w:r>
          </w:p>
        </w:tc>
        <w:tc>
          <w:tcPr>
            <w:tcW w:type="dxa" w:w="3855"/>
          </w:tcPr>
          <w:p>
            <w:r/>
            <w:r>
              <w:rPr>
                <w:b w:val="0"/>
                <w:sz w:val="18"/>
              </w:rPr>
              <w:t>Przychody (metodyka, struktura planu 2026 r.), Finansowanie</w:t>
            </w:r>
          </w:p>
        </w:tc>
      </w:tr>
      <w:tr>
        <w:tc>
          <w:tcPr>
            <w:tcW w:type="dxa" w:w="454"/>
          </w:tcPr>
          <w:p>
            <w:r/>
            <w:r>
              <w:rPr>
                <w:b w:val="0"/>
                <w:sz w:val="18"/>
              </w:rPr>
              <w:t>12</w:t>
            </w:r>
          </w:p>
        </w:tc>
        <w:tc>
          <w:tcPr>
            <w:tcW w:type="dxa" w:w="3628"/>
          </w:tcPr>
          <w:p>
            <w:r/>
            <w:r>
              <w:rPr>
                <w:b w:val="0"/>
                <w:sz w:val="18"/>
              </w:rPr>
              <w:t>Koszty: wzrost o stopę dyskonta i ujęcie wszystkich kosztów, z wyjątkiem amortyzacji, w jednej pozycji wymagają informacji w komentarzu</w:t>
            </w:r>
          </w:p>
        </w:tc>
        <w:tc>
          <w:tcPr>
            <w:tcW w:type="dxa" w:w="1814"/>
          </w:tcPr>
          <w:p>
            <w:r/>
            <w:r>
              <w:rPr>
                <w:b w:val="0"/>
                <w:sz w:val="18"/>
              </w:rPr>
              <w:t>Koszty operacyjne, organizacje badawcze</w:t>
            </w:r>
          </w:p>
        </w:tc>
        <w:tc>
          <w:tcPr>
            <w:tcW w:type="dxa" w:w="3855"/>
          </w:tcPr>
          <w:p>
            <w:r/>
            <w:r>
              <w:rPr>
                <w:b w:val="0"/>
                <w:sz w:val="18"/>
              </w:rPr>
              <w:t>Koszty operacyjne (amortyzacja w jednej pozycji, zob. część 6)</w:t>
            </w:r>
          </w:p>
        </w:tc>
      </w:tr>
      <w:tr>
        <w:tc>
          <w:tcPr>
            <w:tcW w:type="dxa" w:w="454"/>
          </w:tcPr>
          <w:p>
            <w:r/>
            <w:r>
              <w:rPr>
                <w:b w:val="0"/>
                <w:sz w:val="18"/>
              </w:rPr>
              <w:t>13</w:t>
            </w:r>
          </w:p>
        </w:tc>
        <w:tc>
          <w:tcPr>
            <w:tcW w:type="dxa" w:w="3628"/>
          </w:tcPr>
          <w:p>
            <w:r/>
            <w:r>
              <w:rPr>
                <w:b w:val="0"/>
                <w:sz w:val="18"/>
              </w:rPr>
              <w:t>Koszty Projektu: kalkulacje uwiarygadniające przyjęte wartości</w:t>
            </w:r>
          </w:p>
        </w:tc>
        <w:tc>
          <w:tcPr>
            <w:tcW w:type="dxa" w:w="1814"/>
          </w:tcPr>
          <w:p>
            <w:r/>
            <w:r>
              <w:rPr>
                <w:b w:val="0"/>
                <w:sz w:val="18"/>
              </w:rPr>
              <w:t>Koszty operacyjne, uwaga 2</w:t>
            </w:r>
          </w:p>
        </w:tc>
        <w:tc>
          <w:tcPr>
            <w:tcW w:type="dxa" w:w="3855"/>
          </w:tcPr>
          <w:p>
            <w:r/>
            <w:r>
              <w:rPr>
                <w:b w:val="0"/>
                <w:sz w:val="18"/>
              </w:rPr>
              <w:t>Koszty operacyjne (etaty, miesiące, stawki, ryczałt 25%, aparatura)</w:t>
            </w:r>
          </w:p>
        </w:tc>
      </w:tr>
      <w:tr>
        <w:tc>
          <w:tcPr>
            <w:tcW w:type="dxa" w:w="454"/>
          </w:tcPr>
          <w:p>
            <w:r/>
            <w:r>
              <w:rPr>
                <w:b w:val="0"/>
                <w:sz w:val="18"/>
              </w:rPr>
              <w:t>14</w:t>
            </w:r>
          </w:p>
        </w:tc>
        <w:tc>
          <w:tcPr>
            <w:tcW w:type="dxa" w:w="3628"/>
          </w:tcPr>
          <w:p>
            <w:r/>
            <w:r>
              <w:rPr>
                <w:b w:val="0"/>
                <w:sz w:val="18"/>
              </w:rPr>
              <w:t>Koszty pośrednie ujmuje się w Pozostałych kosztach rodzajowych</w:t>
            </w:r>
          </w:p>
        </w:tc>
        <w:tc>
          <w:tcPr>
            <w:tcW w:type="dxa" w:w="1814"/>
          </w:tcPr>
          <w:p>
            <w:r/>
            <w:r>
              <w:rPr>
                <w:b w:val="0"/>
                <w:sz w:val="18"/>
              </w:rPr>
              <w:t>Koszty operacyjne, uwaga 4</w:t>
            </w:r>
          </w:p>
        </w:tc>
        <w:tc>
          <w:tcPr>
            <w:tcW w:type="dxa" w:w="3855"/>
          </w:tcPr>
          <w:p>
            <w:r/>
            <w:r>
              <w:rPr>
                <w:b w:val="0"/>
                <w:sz w:val="18"/>
              </w:rPr>
              <w:t>Koszty operacyjne (koszty pośrednie przeniesione w modelu do Pozostałych kosztów rodzajowych)</w:t>
            </w:r>
          </w:p>
        </w:tc>
      </w:tr>
      <w:tr>
        <w:tc>
          <w:tcPr>
            <w:tcW w:type="dxa" w:w="454"/>
          </w:tcPr>
          <w:p>
            <w:r/>
            <w:r>
              <w:rPr>
                <w:b w:val="0"/>
                <w:sz w:val="18"/>
              </w:rPr>
              <w:t>15</w:t>
            </w:r>
          </w:p>
        </w:tc>
        <w:tc>
          <w:tcPr>
            <w:tcW w:type="dxa" w:w="3628"/>
          </w:tcPr>
          <w:p>
            <w:r/>
            <w:r>
              <w:rPr>
                <w:b w:val="0"/>
                <w:sz w:val="18"/>
              </w:rPr>
              <w:t>Transakcja sprzedaży i zakupu wyników prac B+R między członkami konsorcjum nie jest w modelu, ale musi być opisana ze źródłem finansowania w arkuszu Finansowanie</w:t>
            </w:r>
          </w:p>
        </w:tc>
        <w:tc>
          <w:tcPr>
            <w:tcW w:type="dxa" w:w="1814"/>
          </w:tcPr>
          <w:p>
            <w:r/>
            <w:r>
              <w:rPr>
                <w:b w:val="0"/>
                <w:sz w:val="18"/>
              </w:rPr>
              <w:t>Przychody uwaga 2, Koszty uwaga 6</w:t>
            </w:r>
          </w:p>
        </w:tc>
        <w:tc>
          <w:tcPr>
            <w:tcW w:type="dxa" w:w="3855"/>
          </w:tcPr>
          <w:p>
            <w:r/>
            <w:r>
              <w:rPr>
                <w:b w:val="0"/>
                <w:sz w:val="18"/>
              </w:rPr>
              <w:t>Finansowanie, krótkie odesłania w Przychodach i Kosztach</w:t>
            </w:r>
          </w:p>
        </w:tc>
      </w:tr>
      <w:tr>
        <w:tc>
          <w:tcPr>
            <w:tcW w:type="dxa" w:w="454"/>
          </w:tcPr>
          <w:p>
            <w:r/>
            <w:r>
              <w:rPr>
                <w:b w:val="0"/>
                <w:sz w:val="18"/>
              </w:rPr>
              <w:t>16</w:t>
            </w:r>
          </w:p>
        </w:tc>
        <w:tc>
          <w:tcPr>
            <w:tcW w:type="dxa" w:w="3628"/>
          </w:tcPr>
          <w:p>
            <w:r/>
            <w:r>
              <w:rPr>
                <w:b w:val="0"/>
                <w:sz w:val="18"/>
              </w:rPr>
              <w:t>Środki trwałe: w projektach B+R dofinansowanie dotyczy amortyzacji; środki poniżej 10 tys. zł amortyzuje się jednorazowo; wyjaśnienie, skąd zakup</w:t>
            </w:r>
          </w:p>
        </w:tc>
        <w:tc>
          <w:tcPr>
            <w:tcW w:type="dxa" w:w="1814"/>
          </w:tcPr>
          <w:p>
            <w:r/>
            <w:r>
              <w:rPr>
                <w:b w:val="0"/>
                <w:sz w:val="18"/>
              </w:rPr>
              <w:t>Środki trwałe, przypisy</w:t>
            </w:r>
          </w:p>
        </w:tc>
        <w:tc>
          <w:tcPr>
            <w:tcW w:type="dxa" w:w="3855"/>
          </w:tcPr>
          <w:p>
            <w:r/>
            <w:r>
              <w:rPr>
                <w:b w:val="0"/>
                <w:sz w:val="18"/>
              </w:rPr>
              <w:t>Środki trwałe, Koszty operacyjne</w:t>
            </w:r>
          </w:p>
        </w:tc>
      </w:tr>
      <w:tr>
        <w:tc>
          <w:tcPr>
            <w:tcW w:type="dxa" w:w="454"/>
          </w:tcPr>
          <w:p>
            <w:r/>
            <w:r>
              <w:rPr>
                <w:b w:val="0"/>
                <w:sz w:val="18"/>
              </w:rPr>
              <w:t>17</w:t>
            </w:r>
          </w:p>
        </w:tc>
        <w:tc>
          <w:tcPr>
            <w:tcW w:type="dxa" w:w="3628"/>
          </w:tcPr>
          <w:p>
            <w:r/>
            <w:r>
              <w:rPr>
                <w:b w:val="0"/>
                <w:sz w:val="18"/>
              </w:rPr>
              <w:t>Organizacje badawcze z odzyskiwanym VAT mogą nie wypełniać tabel rozterminowania dotacji, co opisuje się w komentarzu</w:t>
            </w:r>
          </w:p>
        </w:tc>
        <w:tc>
          <w:tcPr>
            <w:tcW w:type="dxa" w:w="1814"/>
          </w:tcPr>
          <w:p>
            <w:r/>
            <w:r>
              <w:rPr>
                <w:b w:val="0"/>
                <w:sz w:val="18"/>
              </w:rPr>
              <w:t>Rozliczenie dotacji</w:t>
            </w:r>
          </w:p>
        </w:tc>
        <w:tc>
          <w:tcPr>
            <w:tcW w:type="dxa" w:w="3855"/>
          </w:tcPr>
          <w:p>
            <w:r/>
            <w:r>
              <w:rPr>
                <w:b w:val="0"/>
                <w:sz w:val="18"/>
              </w:rPr>
              <w:t>Rozliczenie dotacji</w:t>
            </w:r>
          </w:p>
        </w:tc>
      </w:tr>
      <w:tr>
        <w:tc>
          <w:tcPr>
            <w:tcW w:type="dxa" w:w="454"/>
          </w:tcPr>
          <w:p>
            <w:r/>
            <w:r>
              <w:rPr>
                <w:b w:val="0"/>
                <w:sz w:val="18"/>
              </w:rPr>
              <w:t>18</w:t>
            </w:r>
          </w:p>
        </w:tc>
        <w:tc>
          <w:tcPr>
            <w:tcW w:type="dxa" w:w="3628"/>
          </w:tcPr>
          <w:p>
            <w:r/>
            <w:r>
              <w:rPr>
                <w:b w:val="0"/>
                <w:sz w:val="18"/>
              </w:rPr>
              <w:t>Kapitał pracujący: opis przyjętych danych; kalkulacja własna wymaga uzasadnienia</w:t>
            </w:r>
          </w:p>
        </w:tc>
        <w:tc>
          <w:tcPr>
            <w:tcW w:type="dxa" w:w="1814"/>
          </w:tcPr>
          <w:p>
            <w:r/>
            <w:r>
              <w:rPr>
                <w:b w:val="0"/>
                <w:sz w:val="18"/>
              </w:rPr>
              <w:t>Kapitał pracujący</w:t>
            </w:r>
          </w:p>
        </w:tc>
        <w:tc>
          <w:tcPr>
            <w:tcW w:type="dxa" w:w="3855"/>
          </w:tcPr>
          <w:p>
            <w:r/>
            <w:r>
              <w:rPr>
                <w:b w:val="0"/>
                <w:sz w:val="18"/>
              </w:rPr>
              <w:t>Kapitał pracujący (kalkulacja z modelu, bez kalkulacji własnej)</w:t>
            </w:r>
          </w:p>
        </w:tc>
      </w:tr>
      <w:tr>
        <w:tc>
          <w:tcPr>
            <w:tcW w:type="dxa" w:w="454"/>
          </w:tcPr>
          <w:p>
            <w:r/>
            <w:r>
              <w:rPr>
                <w:b w:val="0"/>
                <w:sz w:val="18"/>
              </w:rPr>
              <w:t>19</w:t>
            </w:r>
          </w:p>
        </w:tc>
        <w:tc>
          <w:tcPr>
            <w:tcW w:type="dxa" w:w="3628"/>
          </w:tcPr>
          <w:p>
            <w:r/>
            <w:r>
              <w:rPr>
                <w:b w:val="0"/>
                <w:sz w:val="18"/>
              </w:rPr>
              <w:t>Sposób finansowania projektu: wkład własny, kredyt, pożyczka, kapitał, bieżąca działalność, leasing, wraz z dokumentami uwiarygadniającymi</w:t>
            </w:r>
          </w:p>
        </w:tc>
        <w:tc>
          <w:tcPr>
            <w:tcW w:type="dxa" w:w="1814"/>
          </w:tcPr>
          <w:p>
            <w:r/>
            <w:r>
              <w:rPr>
                <w:b w:val="0"/>
                <w:sz w:val="18"/>
              </w:rPr>
              <w:t>Finansowanie</w:t>
            </w:r>
          </w:p>
        </w:tc>
        <w:tc>
          <w:tcPr>
            <w:tcW w:type="dxa" w:w="3855"/>
          </w:tcPr>
          <w:p>
            <w:r/>
            <w:r>
              <w:rPr>
                <w:b w:val="0"/>
                <w:sz w:val="18"/>
              </w:rPr>
              <w:t>Finansowanie (środki własne 33 971 zł z bieżącej działalności)</w:t>
            </w:r>
          </w:p>
        </w:tc>
      </w:tr>
      <w:tr>
        <w:tc>
          <w:tcPr>
            <w:tcW w:type="dxa" w:w="454"/>
          </w:tcPr>
          <w:p>
            <w:r/>
            <w:r>
              <w:rPr>
                <w:b w:val="0"/>
                <w:sz w:val="18"/>
              </w:rPr>
              <w:t>20</w:t>
            </w:r>
          </w:p>
        </w:tc>
        <w:tc>
          <w:tcPr>
            <w:tcW w:type="dxa" w:w="3628"/>
          </w:tcPr>
          <w:p>
            <w:r/>
            <w:r>
              <w:rPr>
                <w:b w:val="0"/>
                <w:sz w:val="18"/>
              </w:rPr>
              <w:t>Harmonogram płatności: pierwsza płatność jako zaliczka co najmniej 5% dofinansowania</w:t>
            </w:r>
          </w:p>
        </w:tc>
        <w:tc>
          <w:tcPr>
            <w:tcW w:type="dxa" w:w="1814"/>
          </w:tcPr>
          <w:p>
            <w:r/>
            <w:r>
              <w:rPr>
                <w:b w:val="0"/>
                <w:sz w:val="18"/>
              </w:rPr>
              <w:t>Zaliczka-refundacja; uwaga K6-14</w:t>
            </w:r>
          </w:p>
        </w:tc>
        <w:tc>
          <w:tcPr>
            <w:tcW w:type="dxa" w:w="3855"/>
          </w:tcPr>
          <w:p>
            <w:r/>
            <w:r>
              <w:rPr>
                <w:b w:val="0"/>
                <w:sz w:val="18"/>
              </w:rPr>
              <w:t>Finansowanie (arkusz Zaliczka-refundacja nie ma pola Komentarz)</w:t>
            </w:r>
          </w:p>
        </w:tc>
      </w:tr>
      <w:tr>
        <w:tc>
          <w:tcPr>
            <w:tcW w:type="dxa" w:w="454"/>
          </w:tcPr>
          <w:p>
            <w:r/>
            <w:r>
              <w:rPr>
                <w:b w:val="0"/>
                <w:sz w:val="18"/>
              </w:rPr>
              <w:t>21</w:t>
            </w:r>
          </w:p>
        </w:tc>
        <w:tc>
          <w:tcPr>
            <w:tcW w:type="dxa" w:w="3628"/>
          </w:tcPr>
          <w:p>
            <w:r/>
            <w:r>
              <w:rPr>
                <w:b w:val="0"/>
                <w:sz w:val="18"/>
              </w:rPr>
              <w:t>Opłacalność: NPV większe od zera i IRR większy od 4%, bez wartości rezydualnej, w przyjętym okresie prognozy</w:t>
            </w:r>
          </w:p>
        </w:tc>
        <w:tc>
          <w:tcPr>
            <w:tcW w:type="dxa" w:w="1814"/>
          </w:tcPr>
          <w:p>
            <w:r/>
            <w:r>
              <w:rPr>
                <w:b w:val="0"/>
                <w:sz w:val="18"/>
              </w:rPr>
              <w:t>Opłacalność, uwagi</w:t>
            </w:r>
          </w:p>
        </w:tc>
        <w:tc>
          <w:tcPr>
            <w:tcW w:type="dxa" w:w="3855"/>
          </w:tcPr>
          <w:p>
            <w:r/>
            <w:r>
              <w:rPr>
                <w:b w:val="0"/>
                <w:sz w:val="18"/>
              </w:rPr>
              <w:t>Opłacalność (wynik PRz i odesłanie do Opłacalności - Konsorcjum)</w:t>
            </w:r>
          </w:p>
        </w:tc>
      </w:tr>
      <w:tr>
        <w:tc>
          <w:tcPr>
            <w:tcW w:type="dxa" w:w="454"/>
          </w:tcPr>
          <w:p>
            <w:r/>
            <w:r>
              <w:rPr>
                <w:b w:val="0"/>
                <w:sz w:val="18"/>
              </w:rPr>
              <w:t>22</w:t>
            </w:r>
          </w:p>
        </w:tc>
        <w:tc>
          <w:tcPr>
            <w:tcW w:type="dxa" w:w="3628"/>
          </w:tcPr>
          <w:p>
            <w:r/>
            <w:r>
              <w:rPr>
                <w:b w:val="0"/>
                <w:sz w:val="18"/>
              </w:rPr>
              <w:t>Znaczne odchylenia wskaźników od wartości pożądanych, niewynikające ze specyfiki branży, wymagają dodatkowego wyjaśnienia w komentarzu</w:t>
            </w:r>
          </w:p>
        </w:tc>
        <w:tc>
          <w:tcPr>
            <w:tcW w:type="dxa" w:w="1814"/>
          </w:tcPr>
          <w:p>
            <w:r/>
            <w:r>
              <w:rPr>
                <w:b w:val="0"/>
                <w:sz w:val="18"/>
              </w:rPr>
              <w:t>Ocena kondycji finansowej</w:t>
            </w:r>
          </w:p>
        </w:tc>
        <w:tc>
          <w:tcPr>
            <w:tcW w:type="dxa" w:w="3855"/>
          </w:tcPr>
          <w:p>
            <w:r/>
            <w:r>
              <w:rPr>
                <w:b w:val="0"/>
                <w:sz w:val="18"/>
              </w:rPr>
              <w:t>Ocena kondycji finansowej (ROS, ROA, płynność, struktura kapitału, wskaźniki obsługi długu)</w:t>
            </w:r>
          </w:p>
        </w:tc>
      </w:tr>
    </w:tbl>
    <w:p/>
    <w:p>
      <w:pPr>
        <w:pStyle w:val="Heading1"/>
      </w:pPr>
      <w:r>
        <w:t>2. Uwagi eksperta dotyczące modelu PRz i gdzie na nie odpowiadamy</w:t>
      </w:r>
    </w:p>
    <w:p>
      <w:pPr>
        <w:spacing w:after="60"/>
      </w:pPr>
      <w:r>
        <w:rPr>
          <w:b w:val="0"/>
        </w:rPr>
        <w:t>Dwie uwagi panelu dotyczą wprost modelu PRz (K6-14 i K6-17). Pozostałe uwagi kryterium 6 formalnie dotyczą modelu Lidera, ale ich logikę zastosowałam też w komentarzach PRz, żeby ekspert nie znalazł w tym modelu tych samych luk.</w:t>
      </w:r>
    </w:p>
    <w:tbl>
      <w:tblPr>
        <w:tblStyle w:val="TableGrid"/>
        <w:tblW w:type="auto" w:w="0"/>
        <w:tblLook w:firstColumn="1" w:firstRow="1" w:lastColumn="0" w:lastRow="0" w:noHBand="0" w:noVBand="1" w:val="04A0"/>
      </w:tblPr>
      <w:tblGrid>
        <w:gridCol w:w="3213"/>
        <w:gridCol w:w="3213"/>
        <w:gridCol w:w="3213"/>
      </w:tblGrid>
      <w:tr>
        <w:tc>
          <w:tcPr>
            <w:tcW w:type="dxa" w:w="1077"/>
          </w:tcPr>
          <w:p>
            <w:r/>
            <w:r>
              <w:rPr>
                <w:b/>
                <w:sz w:val="18"/>
              </w:rPr>
              <w:t>Uwaga</w:t>
            </w:r>
          </w:p>
        </w:tc>
        <w:tc>
          <w:tcPr>
            <w:tcW w:type="dxa" w:w="3175"/>
          </w:tcPr>
          <w:p>
            <w:r/>
            <w:r>
              <w:rPr>
                <w:b/>
                <w:sz w:val="18"/>
              </w:rPr>
              <w:t>Czego dotyczy</w:t>
            </w:r>
          </w:p>
        </w:tc>
        <w:tc>
          <w:tcPr>
            <w:tcW w:type="dxa" w:w="5499"/>
          </w:tcPr>
          <w:p>
            <w:r/>
            <w:r>
              <w:rPr>
                <w:b/>
                <w:sz w:val="18"/>
              </w:rPr>
              <w:t>Odpowiedź w komentarzach PRz</w:t>
            </w:r>
          </w:p>
        </w:tc>
      </w:tr>
      <w:tr>
        <w:tc>
          <w:tcPr>
            <w:tcW w:type="dxa" w:w="1077"/>
          </w:tcPr>
          <w:p>
            <w:r/>
            <w:r>
              <w:rPr>
                <w:b w:val="0"/>
                <w:sz w:val="18"/>
              </w:rPr>
              <w:t>K6-17</w:t>
            </w:r>
          </w:p>
        </w:tc>
        <w:tc>
          <w:tcPr>
            <w:tcW w:type="dxa" w:w="3175"/>
          </w:tcPr>
          <w:p>
            <w:r/>
            <w:r>
              <w:rPr>
                <w:b w:val="0"/>
                <w:sz w:val="18"/>
              </w:rPr>
              <w:t>Wyjaśnić przyczyny straty na sprzedaży PRz w 2025 r. (wprost PRz)</w:t>
            </w:r>
          </w:p>
        </w:tc>
        <w:tc>
          <w:tcPr>
            <w:tcW w:type="dxa" w:w="5499"/>
          </w:tcPr>
          <w:p>
            <w:r/>
            <w:r>
              <w:rPr>
                <w:b w:val="0"/>
                <w:sz w:val="18"/>
              </w:rPr>
              <w:t>Sprawozdania finansowe (akapity 2-4): strata minus 3 470 tys. zł powstaje po uwzględnieniu zmiany stanu produktów minus 16 520 tys. zł (pozycja stała: minus 11 912 tys. zł w 2024 r., a nie zmiana zapasów, bo stan produktów w bilansie wzrósł); bez niej wynik na sprzedaży wynosi plus 13 049 tys. zł; zysk operacyjny 7 530 tys. zł, brutto 15 176 tys. zł, netto 15 154 tys. zł; dodane dane porównawcze 2024 r. i przepływy 2025 r. Powtórzone krócej w Ocenie kondycji i w Kosztach operacyjnych. Dokładny mechanizm księgowy musi potwierdzić kwestor PRz (żółte pole). Poprzedni komentarz podawał tylko wynik netto, więc luka była realna.</w:t>
            </w:r>
          </w:p>
        </w:tc>
      </w:tr>
      <w:tr>
        <w:tc>
          <w:tcPr>
            <w:tcW w:type="dxa" w:w="1077"/>
          </w:tcPr>
          <w:p>
            <w:r/>
            <w:r>
              <w:rPr>
                <w:b w:val="0"/>
                <w:sz w:val="18"/>
              </w:rPr>
              <w:t>K6-14</w:t>
            </w:r>
          </w:p>
        </w:tc>
        <w:tc>
          <w:tcPr>
            <w:tcW w:type="dxa" w:w="3175"/>
          </w:tcPr>
          <w:p>
            <w:r/>
            <w:r>
              <w:rPr>
                <w:b w:val="0"/>
                <w:sz w:val="18"/>
              </w:rPr>
              <w:t>Zaliczka-refundacja obu konsorcjantów: okres wniosków zgodny z realizacją, pierwsza płatność co najmniej 5% jako zaliczka, transza zaliczki do 40%, suma zaliczek do 90% (wprost PRz)</w:t>
            </w:r>
          </w:p>
        </w:tc>
        <w:tc>
          <w:tcPr>
            <w:tcW w:type="dxa" w:w="5499"/>
          </w:tcPr>
          <w:p>
            <w:r/>
            <w:r>
              <w:rPr>
                <w:b w:val="0"/>
                <w:sz w:val="18"/>
              </w:rPr>
              <w:t>Finansowanie (akapit „Harmonogram płatności”): 7 wniosków od II półrocza 2026 r. do II półrocza 2029 r.; pierwsza zaliczka 5,50%, największa 29,83%, suma zaliczek 89,90%, refundacja końcowa 10,10%. Obliczenia z arkusza Zaliczka-refundacja po korekcie harmonogramu.</w:t>
            </w:r>
          </w:p>
        </w:tc>
      </w:tr>
      <w:tr>
        <w:tc>
          <w:tcPr>
            <w:tcW w:type="dxa" w:w="1077"/>
          </w:tcPr>
          <w:p>
            <w:r/>
            <w:r>
              <w:rPr>
                <w:b w:val="0"/>
                <w:sz w:val="18"/>
              </w:rPr>
              <w:t>K6-01</w:t>
            </w:r>
          </w:p>
        </w:tc>
        <w:tc>
          <w:tcPr>
            <w:tcW w:type="dxa" w:w="3175"/>
          </w:tcPr>
          <w:p>
            <w:r/>
            <w:r>
              <w:rPr>
                <w:b w:val="0"/>
                <w:sz w:val="18"/>
              </w:rPr>
              <w:t>Założenia w każdej zakładce, w polach do tego przeznaczonych (Lider)</w:t>
            </w:r>
          </w:p>
        </w:tc>
        <w:tc>
          <w:tcPr>
            <w:tcW w:type="dxa" w:w="5499"/>
          </w:tcPr>
          <w:p>
            <w:r/>
            <w:r>
              <w:rPr>
                <w:b w:val="0"/>
                <w:sz w:val="18"/>
              </w:rPr>
              <w:t>Wszystkie 10 arkuszy z polem Komentarz mają nowy, szczegółowy tekst (2 200-5 900 znaków).</w:t>
            </w:r>
          </w:p>
        </w:tc>
      </w:tr>
      <w:tr>
        <w:tc>
          <w:tcPr>
            <w:tcW w:type="dxa" w:w="1077"/>
          </w:tcPr>
          <w:p>
            <w:r/>
            <w:r>
              <w:rPr>
                <w:b w:val="0"/>
                <w:sz w:val="18"/>
              </w:rPr>
              <w:t>K6-02</w:t>
            </w:r>
          </w:p>
        </w:tc>
        <w:tc>
          <w:tcPr>
            <w:tcW w:type="dxa" w:w="3175"/>
          </w:tcPr>
          <w:p>
            <w:r/>
            <w:r>
              <w:rPr>
                <w:b w:val="0"/>
                <w:sz w:val="18"/>
              </w:rPr>
              <w:t>Podstawa założeń z arkusza Założenia: stawka podatku, stawki amortyzacji, rotacja (Lider)</w:t>
            </w:r>
          </w:p>
        </w:tc>
        <w:tc>
          <w:tcPr>
            <w:tcW w:type="dxa" w:w="5499"/>
          </w:tcPr>
          <w:p>
            <w:r/>
            <w:r>
              <w:rPr>
                <w:b w:val="0"/>
                <w:sz w:val="18"/>
              </w:rPr>
              <w:t>Założenia: stawka CIT 0% (zwolnienie, podatek 2025 r. 22 tys. zł), puste stawki amortyzacji i oprocentowania z uzasadnieniem, rotacja Projektu 0 dni z uzasadnieniem.</w:t>
            </w:r>
          </w:p>
        </w:tc>
      </w:tr>
      <w:tr>
        <w:tc>
          <w:tcPr>
            <w:tcW w:type="dxa" w:w="1077"/>
          </w:tcPr>
          <w:p>
            <w:r/>
            <w:r>
              <w:rPr>
                <w:b w:val="0"/>
                <w:sz w:val="18"/>
              </w:rPr>
              <w:t>K6-03, K6-12</w:t>
            </w:r>
          </w:p>
        </w:tc>
        <w:tc>
          <w:tcPr>
            <w:tcW w:type="dxa" w:w="3175"/>
          </w:tcPr>
          <w:p>
            <w:r/>
            <w:r>
              <w:rPr>
                <w:b w:val="0"/>
                <w:sz w:val="18"/>
              </w:rPr>
              <w:t>Źródła wkładu własnego, sposób wniesienia środków (Lider)</w:t>
            </w:r>
          </w:p>
        </w:tc>
        <w:tc>
          <w:tcPr>
            <w:tcW w:type="dxa" w:w="5499"/>
          </w:tcPr>
          <w:p>
            <w:r/>
            <w:r>
              <w:rPr>
                <w:b w:val="0"/>
                <w:sz w:val="18"/>
              </w:rPr>
              <w:t>Finansowanie: środki własne 33 971 zł (VAT od aparatury), źródło i termin, skala wobec przychodów i środków pieniężnych PRz.</w:t>
            </w:r>
          </w:p>
        </w:tc>
      </w:tr>
      <w:tr>
        <w:tc>
          <w:tcPr>
            <w:tcW w:type="dxa" w:w="1077"/>
          </w:tcPr>
          <w:p>
            <w:r/>
            <w:r>
              <w:rPr>
                <w:b w:val="0"/>
                <w:sz w:val="18"/>
              </w:rPr>
              <w:t>K6-04, K6-08</w:t>
            </w:r>
          </w:p>
        </w:tc>
        <w:tc>
          <w:tcPr>
            <w:tcW w:type="dxa" w:w="3175"/>
          </w:tcPr>
          <w:p>
            <w:r/>
            <w:r>
              <w:rPr>
                <w:b w:val="0"/>
                <w:sz w:val="18"/>
              </w:rPr>
              <w:t>Podstawa rotacji zapasów, należności i zobowiązań wobec danych historycznych (Lider)</w:t>
            </w:r>
          </w:p>
        </w:tc>
        <w:tc>
          <w:tcPr>
            <w:tcW w:type="dxa" w:w="5499"/>
          </w:tcPr>
          <w:p>
            <w:r/>
            <w:r>
              <w:rPr>
                <w:b w:val="0"/>
                <w:sz w:val="18"/>
              </w:rPr>
              <w:t>Kapitał pracujący: 6, 3 i 8 dni z danych 2025 r., konwencja modelu, rotacja Projektu 0 dni.</w:t>
            </w:r>
          </w:p>
        </w:tc>
      </w:tr>
      <w:tr>
        <w:tc>
          <w:tcPr>
            <w:tcW w:type="dxa" w:w="1077"/>
          </w:tcPr>
          <w:p>
            <w:r/>
            <w:r>
              <w:rPr>
                <w:b w:val="0"/>
                <w:sz w:val="18"/>
              </w:rPr>
              <w:t>K6-05, K6-06</w:t>
            </w:r>
          </w:p>
        </w:tc>
        <w:tc>
          <w:tcPr>
            <w:tcW w:type="dxa" w:w="3175"/>
          </w:tcPr>
          <w:p>
            <w:r/>
            <w:r>
              <w:rPr>
                <w:b w:val="0"/>
                <w:sz w:val="18"/>
              </w:rPr>
              <w:t>Dynamika przychodów dotychczasowej działalności i jej wzrost wobec historii (Lider)</w:t>
            </w:r>
          </w:p>
        </w:tc>
        <w:tc>
          <w:tcPr>
            <w:tcW w:type="dxa" w:w="5499"/>
          </w:tcPr>
          <w:p>
            <w:r/>
            <w:r>
              <w:rPr>
                <w:b w:val="0"/>
                <w:sz w:val="18"/>
              </w:rPr>
              <w:t>Przychody: baza z planu 2026 r., wzrost 4% (Instrukcja), ciągłość z 2025 r. (plan o 4,4% wyższy od porównywalnej wartości 2025 r., a po wyłączeniu zmiany stanu produktów o 0,1% niższy).</w:t>
            </w:r>
          </w:p>
        </w:tc>
      </w:tr>
      <w:tr>
        <w:tc>
          <w:tcPr>
            <w:tcW w:type="dxa" w:w="1077"/>
          </w:tcPr>
          <w:p>
            <w:r/>
            <w:r>
              <w:rPr>
                <w:b w:val="0"/>
                <w:sz w:val="18"/>
              </w:rPr>
              <w:t>K6-09</w:t>
            </w:r>
          </w:p>
        </w:tc>
        <w:tc>
          <w:tcPr>
            <w:tcW w:type="dxa" w:w="3175"/>
          </w:tcPr>
          <w:p>
            <w:r/>
            <w:r>
              <w:rPr>
                <w:b w:val="0"/>
                <w:sz w:val="18"/>
              </w:rPr>
              <w:t>Założenia kosztów operacyjnych, kompletność i weryfikowalność (Lider)</w:t>
            </w:r>
          </w:p>
        </w:tc>
        <w:tc>
          <w:tcPr>
            <w:tcW w:type="dxa" w:w="5499"/>
          </w:tcPr>
          <w:p>
            <w:r/>
            <w:r>
              <w:rPr>
                <w:b w:val="0"/>
                <w:sz w:val="18"/>
              </w:rPr>
              <w:t>Koszty operacyjne: kalkulacja wynagrodzeń (etaty x miesiące x stawka), aparatury, ryczałtu 25%, zgodność z budżetem wniosku do złotówki.</w:t>
            </w:r>
          </w:p>
        </w:tc>
      </w:tr>
      <w:tr>
        <w:tc>
          <w:tcPr>
            <w:tcW w:type="dxa" w:w="1077"/>
          </w:tcPr>
          <w:p>
            <w:r/>
            <w:r>
              <w:rPr>
                <w:b w:val="0"/>
                <w:sz w:val="18"/>
              </w:rPr>
              <w:t>K6-13</w:t>
            </w:r>
          </w:p>
        </w:tc>
        <w:tc>
          <w:tcPr>
            <w:tcW w:type="dxa" w:w="3175"/>
          </w:tcPr>
          <w:p>
            <w:r/>
            <w:r>
              <w:rPr>
                <w:b w:val="0"/>
                <w:sz w:val="18"/>
              </w:rPr>
              <w:t>Podstawa rentowności ROA, ROS i netto wobec historii (Lider)</w:t>
            </w:r>
          </w:p>
        </w:tc>
        <w:tc>
          <w:tcPr>
            <w:tcW w:type="dxa" w:w="5499"/>
          </w:tcPr>
          <w:p>
            <w:r/>
            <w:r>
              <w:rPr>
                <w:b w:val="0"/>
                <w:sz w:val="18"/>
              </w:rPr>
              <w:t>Ocena kondycji finansowej: ROS minus 1,0% w 2025 r. i 0,5% w prognozie, ROA 2,9% i 0,4%, powody i porównywalność.</w:t>
            </w:r>
          </w:p>
        </w:tc>
      </w:tr>
    </w:tbl>
    <w:p/>
    <w:p>
      <w:pPr>
        <w:pStyle w:val="Heading1"/>
      </w:pPr>
      <w:r>
        <w:t>3. Błędy w obecnych komentarzach PRz poprawione w nowych tekstach</w:t>
      </w:r>
    </w:p>
    <w:p>
      <w:pPr>
        <w:pStyle w:val="ListBullet"/>
      </w:pPr>
      <w:r>
        <w:rPr>
          <w:b/>
        </w:rPr>
        <w:t>Założenia:</w:t>
      </w:r>
      <w:r>
        <w:rPr>
          <w:b w:val="0"/>
        </w:rPr>
        <w:t xml:space="preserve"> obecny komentarz mówi, że okres prognozy to 5 lat „zgodnie z wymogiem dla organizacji badawczych”. To nieprawda: pkt 5b Instrukcji mówi, że organizacje badawcze nie wprowadzają danych po zakończeniu projektu, więc dane PRz kończą się w 2029 r. Nowy tekst to wyjaśnia.</w:t>
      </w:r>
    </w:p>
    <w:p>
      <w:pPr>
        <w:pStyle w:val="ListBullet"/>
      </w:pPr>
      <w:r>
        <w:rPr>
          <w:b/>
        </w:rPr>
        <w:t>Sprawozdania finansowe:</w:t>
      </w:r>
      <w:r>
        <w:rPr>
          <w:b w:val="0"/>
        </w:rPr>
        <w:t xml:space="preserve"> obecny komentarz twierdzi, że brak danych za lata wcześniejsze wynika z „zasad dla organizacji badawczych”. Nowy tekst go nie powtarza: podaje, że model zawiera ostatni zamknięty rok sprawozdawczy zgodnie z uproszczoną sprawozdawczością organizacji badawczej, i dodaje dane porównawcze 2024 r. z tego samego sprawozdania.</w:t>
      </w:r>
    </w:p>
    <w:p>
      <w:pPr>
        <w:pStyle w:val="ListBullet"/>
      </w:pPr>
      <w:r>
        <w:rPr>
          <w:b/>
        </w:rPr>
        <w:t>Koszty operacyjne:</w:t>
      </w:r>
      <w:r>
        <w:rPr>
          <w:b w:val="0"/>
        </w:rPr>
        <w:t xml:space="preserve"> obecny komentarz mówi, że amortyzację aparatury ujęto w kosztach „bezpośrednio” z powodu „zasady rachunkowości, według której majątek sfinansowany z dotacji i przyjęty po zakończeniu badań podlega amortyzacji jednorazowej, a jej równowartość odpisywana jest w przychody operacyjne”. Nie znajduje to potwierdzenia we wniosku, który podaje inną podstawę: jednorazowy odpis składników do 10 tys. zł netto w miesiącu oddania do używania. Poprzedni komentarz podawał też ogólnie, że plan 2026 r. to 376 371 tys. zł, bez struktury kosztów; nowy podaje strukturę z planu (w tym amortyzację 26 546,6 tys. zł) i wyjaśnia wzrost względem 2025 r.</w:t>
      </w:r>
    </w:p>
    <w:p>
      <w:pPr>
        <w:pStyle w:val="ListBullet"/>
      </w:pPr>
      <w:r>
        <w:rPr>
          <w:b/>
        </w:rPr>
        <w:t>Środki trwałe:</w:t>
      </w:r>
      <w:r>
        <w:rPr>
          <w:b w:val="0"/>
        </w:rPr>
        <w:t xml:space="preserve"> obecny komentarz nie opisywał środków trwałych dotychczasowej działalności ani tego, że w prognozie utrzymano je bez zmian, oraz nie podawał podstawy jednorazowego odpisu aparatury.</w:t>
      </w:r>
    </w:p>
    <w:p>
      <w:pPr>
        <w:pStyle w:val="ListBullet"/>
      </w:pPr>
      <w:r>
        <w:rPr>
          <w:b/>
        </w:rPr>
        <w:t>Kapitał pracujący:</w:t>
      </w:r>
      <w:r>
        <w:rPr>
          <w:b w:val="0"/>
        </w:rPr>
        <w:t xml:space="preserve"> obecny komentarz uzasadnia niską rotację „rozliczeniami bezgotówkowymi” subwencji i dotacji, co jest niejasne. Nowy tekst opisuje to jako strukturę przychodów i dodaje konwencję modelu, która daje dodatnią zmianę należności 6 931 tys. zł w 2026 r.</w:t>
      </w:r>
    </w:p>
    <w:p>
      <w:pPr>
        <w:pStyle w:val="ListBullet"/>
      </w:pPr>
      <w:r>
        <w:rPr>
          <w:b/>
        </w:rPr>
        <w:t>Finansowanie:</w:t>
      </w:r>
      <w:r>
        <w:rPr>
          <w:b w:val="0"/>
        </w:rPr>
        <w:t xml:space="preserve"> obecny komentarz twierdzi, że PRz „nie wnosi wkładu własnego”, a wniosek (pkt 4.1) wykazuje środki własne PRz 33 971 zł (VAT od aparatury). Instrukcja (pkt 13) wymaga opisu źródła pokrycia VAT. Nowy tekst to opisuje, dodaje harmonogram płatności (K6-14) i opis transakcji z Liderem, której Instrukcja nie pozwala ująć w modelu.</w:t>
      </w:r>
    </w:p>
    <w:p>
      <w:pPr>
        <w:pStyle w:val="ListBullet"/>
      </w:pPr>
      <w:r>
        <w:rPr>
          <w:b/>
        </w:rPr>
        <w:t>Opłacalność:</w:t>
      </w:r>
      <w:r>
        <w:rPr>
          <w:b w:val="0"/>
        </w:rPr>
        <w:t xml:space="preserve"> obecny komentarz podaje koszty „1 033 966,25 zł”. Poprawna kwota to 1 033 965,90 zł (w arkuszu 1 035 tys. zł po zaokrągleniach).</w:t>
      </w:r>
    </w:p>
    <w:p>
      <w:pPr>
        <w:pStyle w:val="ListBullet"/>
      </w:pPr>
      <w:r>
        <w:rPr>
          <w:b/>
        </w:rPr>
        <w:t>Sprawozdania finansowe (K6-17):</w:t>
      </w:r>
      <w:r>
        <w:rPr>
          <w:b w:val="0"/>
        </w:rPr>
        <w:t xml:space="preserve"> obecny komentarz nie wyjaśniał straty na sprzedaży, której wymaga pkt 16 Instrukcji i o którą pyta ekspert.</w:t>
      </w:r>
    </w:p>
    <w:p>
      <w:pPr>
        <w:pStyle w:val="Heading1"/>
      </w:pPr>
      <w:r>
        <w:t>4. Komentarze do wklejenia</w:t>
      </w:r>
    </w:p>
    <w:p>
      <w:pPr>
        <w:pStyle w:val="Heading2"/>
      </w:pPr>
      <w:r>
        <w:t>4.1 Arkusz Założenia (komórka B79)</w:t>
      </w:r>
    </w:p>
    <w:p>
      <w:pPr>
        <w:keepNext/>
        <w:spacing w:before="160" w:after="40"/>
      </w:pPr>
      <w:r>
        <w:rPr>
          <w:b/>
          <w:sz w:val="20"/>
        </w:rPr>
        <w:t>Komentarz do wklejenia, arkusz Założenia</w:t>
      </w:r>
      <w:r>
        <w:rPr>
          <w:color w:val="666666"/>
          <w:sz w:val="17"/>
        </w:rPr>
        <w:t xml:space="preserve"> [4303 znaków]</w:t>
      </w:r>
    </w:p>
    <w:p>
      <w:pPr>
        <w:spacing w:after="60"/>
      </w:pPr>
      <w:r>
        <w:rPr>
          <w:b w:val="0"/>
        </w:rPr>
        <w:t>Model dotyczy Politechniki Rzeszowskiej im. Ignacego Łukasiewicza (PRz), konsorcjanta w projekcie CargoDT. Wypełniono go jako model organizacji badawczej z prawną możliwością odzyskania podatku VAT (płatnik VAT: tak) i ze sprawozdawczością uproszczoną, zgodnie z pkt 5b Instrukcji. Dane podano w tysiącach złotych, w kwotach netto i w cenach stałych, bez uwzględniania inflacji (pkt 8, 12 i 14 Instrukcji). Rok obrotowy PRz trwa 12 miesięcy i jest równy kalendarzowemu (pkt 7). Bieżący rok obrotowy rozpoczyna się 1.01.2026 r. (komórka C12). Komórkę C14 pozostawiono pustą, a kolumnę F w arkuszu Sprawozdania finansowe nie wypełniono, ponieważ PRz ma sprawozdanie za zamknięty rok 2025 (zbadane przez biegłego rewidenta, zatwierdzone uchwałą Rady Uczelni nr 10/2026 z 20.04.2026 r. i ogłoszone w Monitorze Sądowym i Gospodarczym nr 86 (7491) z 6.05.2026 r., poz. 21407), a Instrukcja dla organizacji badawczych każe w takim przypadku pozostawić te pola puste (pkt 6).</w:t>
      </w:r>
    </w:p>
    <w:p>
      <w:pPr>
        <w:spacing w:after="60"/>
      </w:pPr>
      <w:r>
        <w:rPr>
          <w:b w:val="0"/>
        </w:rPr>
        <w:t>Projekt zostanie zrealizowany od listopada 2026 r. do kwietnia 2029 r., czyli w ciągu 30 miesięcy (M1 to listopad 2026 r., M30 to kwiecień 2029 r.). Są to te same daty, które wpisał Lider, zgodnie z Instrukcją, według której wszyscy członkowie konsorcjum podają daty całego projektu. Badania przemysłowe obejmują zadania Z1 i Z3, a prace rozwojowe zadania Z4, Z5 i Z8. Prace rozwojowe kończą się w kwietniu 2029 r. (komórka C24).</w:t>
      </w:r>
    </w:p>
    <w:p>
      <w:pPr>
        <w:spacing w:after="60"/>
      </w:pPr>
      <w:r>
        <w:rPr>
          <w:b w:val="0"/>
        </w:rPr>
        <w:t>Dane PRz obejmują ostatni zamknięty rok sprawozdawczy (2025 r., zgodnie z uproszczoną sprawozdawczością organizacji badawczej), rok bieżący 2026 oraz lata realizacji projektu 2026-2029. Dane porównawcze za 2024 r. z tego samego sprawozdania podano w komentarzu do arkusza Sprawozdania finansowe. Zgodnie z pkt 5b Instrukcji organizacje badawcze nie wprowadzają danych na okres po zakończeniu realizacji projektu, dlatego dane PRz kończą się w 2029 r., a ewentualne wartości w kolumnach od 2030 r. w arkuszach wynikowych nie są prognozą PRz i nie oznaczają założenia o zakończeniu jej działalności. Pole „Okres prognozy” (5 lat, rok 2034 w komórce C21) jest parametrem technicznym modelu. Lider przyjął dłuższy okres prognozy (do 2039 r.), więc warunek Instrukcji, że okres prognozy Lidera nie może być krótszy od okresu wskazanego przez członka konsorcjum, jest spełniony.</w:t>
      </w:r>
    </w:p>
    <w:p>
      <w:pPr>
        <w:spacing w:after="60"/>
      </w:pPr>
      <w:r>
        <w:rPr>
          <w:b w:val="0"/>
        </w:rPr>
        <w:t>Stopa dyskonta wynosi 4%, zgodnie z Instrukcją i modelem Lidera. Służy do dyskontowania przepływów w arkuszu Opłacalność, a także jako roczne tempo wzrostu przychodów i kosztów dotychczasowej działalności w latach 2027-2029, co Instrukcja dopuszcza dla organizacji badawczych pod warunkiem opisania go w komentarzu (szczegóły w komentarzach do arkuszy Przychody i Koszty operacyjne).</w:t>
      </w:r>
    </w:p>
    <w:p>
      <w:pPr>
        <w:spacing w:after="60"/>
      </w:pPr>
      <w:r>
        <w:rPr>
          <w:b w:val="0"/>
        </w:rPr>
        <w:t xml:space="preserve">Stopa podatku dochodowego wynosi 0%, ponieważ PRz korzysta ze zwolnienia z podatku dochodowego od osób prawnych dla dochodów przeznaczonych na cele statutowe (art. 17 ust. 1 pkt 4 ustawy o CIT) </w:t>
      </w:r>
      <w:r>
        <w:rPr>
          <w:b w:val="0"/>
          <w:highlight w:val="yellow"/>
        </w:rPr>
        <w:t>PRz potwierdza podstawę prawną zwolnienia</w:t>
      </w:r>
      <w:r>
        <w:rPr>
          <w:b w:val="0"/>
        </w:rPr>
        <w:t>. Podatek dochodowy za 2025 r. wyniósł 22 tys. zł, czyli 0,14% zysku brutto (15 176 tys. zł), więc jego pominięcie w prognozie jest nieistotne.</w:t>
      </w:r>
    </w:p>
    <w:p>
      <w:pPr>
        <w:spacing w:after="60"/>
      </w:pPr>
      <w:r>
        <w:rPr>
          <w:b w:val="0"/>
        </w:rPr>
        <w:t>Kapitał pracujący dla Projektu ustawiono na 0 dni rotacji należności, zapasów i zobowiązań. Projekt nie generuje przychodów ani zapasów, a wydatki są ponoszone i rozliczane w tym samym okresie ze środków dotacji w systemie zaliczkowym (opis w komentarzu do arkusza Finansowanie). Różnica względem dotychczasowej działalności (6 dni zapasów, 3 dni należności i 8 dni zobowiązań, zob. komentarz do arkusza Kapitał pracujący) wynika więc ze struktury projektu: nie ma w nim sprzedaży, a koszty są pokrywane dotacją.</w:t>
      </w:r>
    </w:p>
    <w:p>
      <w:pPr>
        <w:spacing w:after="60"/>
      </w:pPr>
      <w:r>
        <w:rPr>
          <w:b w:val="0"/>
        </w:rPr>
        <w:t>Średnie stawki amortyzacji (komórki C46-C53) pozostawiono puste, ponieważ koszty dotychczasowej działalności wprowadzono zbiorczo, wraz z amortyzacją (26 546,6 tys. zł w planie na 2026 r.), w jednej pozycji arkusza Koszty operacyjne, a wartość majątku trwałego dotychczasowej działalności utrzymano w prognozie na poziomie z 31.12.2025 r. (zob. komentarz do arkusza Środki trwałe). Pola oprocentowania (komórki C60-C72) są puste, bo PRz nie ma kredytów ani pożyczek, nie planuje depozytów bankowych, a przychody finansowe wchodzą do zbiorczej pozycji przychodów (zob. komentarz do arkusza Przychody). Stawki amortyzacji nie dotyczą też aparatury projektu: odpisuje się ją jednorazowo, co opisano w komentarzach do arkuszy Koszty operacyjne i Środki trwałe.</w:t>
      </w:r>
    </w:p>
    <w:p>
      <w:pPr>
        <w:pStyle w:val="Heading2"/>
      </w:pPr>
      <w:r>
        <w:t>4.2 Arkusz Sprawozdania finansowe (komórka B203)</w:t>
      </w:r>
    </w:p>
    <w:p>
      <w:pPr>
        <w:keepNext/>
        <w:spacing w:before="160" w:after="40"/>
      </w:pPr>
      <w:r>
        <w:rPr>
          <w:b/>
          <w:sz w:val="20"/>
        </w:rPr>
        <w:t>Komentarz do wklejenia, arkusz Sprawozdania finansowe</w:t>
      </w:r>
      <w:r>
        <w:rPr>
          <w:color w:val="666666"/>
          <w:sz w:val="17"/>
        </w:rPr>
        <w:t xml:space="preserve"> [6364 znaków]</w:t>
      </w:r>
    </w:p>
    <w:p>
      <w:pPr>
        <w:spacing w:after="60"/>
      </w:pPr>
      <w:r>
        <w:rPr>
          <w:b w:val="0"/>
        </w:rPr>
        <w:t>Dane za 2025 r. pochodzą ze sprawozdania finansowego PRz za rok 2025, zbadanego przez biegłego rewidenta, zatwierdzonego uchwałą Rady Uczelni nr 10/2026 z 20.04.2026 r. i ogłoszonego w Monitorze Sądowym i Gospodarczym nr 86 (7491) z 6.05.2026 r., poz. 21407. Dane w tabeli podano w tysiącach złotych, więc możliwe są różnice rzędu ±1 tys. zł wynikające z zaokrągleń (pkt 11 Instrukcji). Zysk netto za 2025 r. wyniósł 15 154 851,78 zł. Model zawiera ostatni zamknięty rok sprawozdawczy, zgodnie z uproszczoną sprawozdawczością organizacji badawczej, a dane porównawcze za 2024 r. z tego samego sprawozdania podano poniżej w komentarzu.</w:t>
      </w:r>
    </w:p>
    <w:p>
      <w:pPr>
        <w:spacing w:after="60"/>
      </w:pPr>
      <w:r>
        <w:rPr>
          <w:b w:val="0"/>
        </w:rPr>
        <w:t>Rachunek zysków i strat (wariant porównawczy) za 2025 r. (w nawiasach 2024 r.): przychody netto ze sprzedaży i zrównane z nimi 342 752 tys. zł (317 386), w tym przychody netto ze sprzedaży produktów 359 188 tys. zł (329 295), zmiana stanu produktów minus 16 520 tys. zł (minus 11 912), koszt wytworzenia produktów na własne potrzeby 64 tys. zł i przychody ze sprzedaży towarów 20 tys. zł (2 043 w 2024 r.). Koszty działalności operacyjnej wyniosły 346 223 tys. zł (317 373): wynagrodzenia 215 107 tys. zł (62%), ubezpieczenia społeczne i inne świadczenia 55 368 tys. zł (16%), zużycie materiałów i energii 25 666 tys. zł (7%), amortyzacja 22 670 tys. zł (7%), usługi obce 13 101 tys. zł (4%), pozostałe koszty rodzajowe 12 534 tys. zł (4%), podatki i opłaty 1 690 tys. zł (0,5%) i wartość sprzedanych towarów 87 tys. zł. Przychody wzrosły o 8,0%, a koszty o 9,1%.</w:t>
      </w:r>
    </w:p>
    <w:p>
      <w:pPr>
        <w:spacing w:after="60"/>
      </w:pPr>
      <w:r>
        <w:rPr>
          <w:b w:val="0"/>
        </w:rPr>
        <w:t xml:space="preserve">Strata na sprzedaży w 2025 r. (minus 3 470 tys. zł) powstaje po uwzględnieniu w wariancie porównawczym zmiany stanu produktów, która pomniejsza przychody netto o 16 520 tys. zł. Bez tej pozycji wynik na sprzedaży wyniósłby plus 13 049 tys. zł (359 188 + 64 + 20 - 346 223), czyli sprzedaż produktów i usług z nadwyżką pokrywa koszty rodzajowe. Zmiana stanu produktów jest w PRz pozycją stałą, a nie jednorazową: wyniosła minus 11 912 tys. zł także w 2024 r., kiedy wynik na sprzedaży był bliski zera (plus 12 tys. zł). Nie jest to zmiana zapasów widoczna w bilansie (stan produktów w toku i gotowych wzrósł z 2 259 do 3 329 tys. zł), tylko element sposobu ewidencji kosztów i przychodów w PRz: koszty rodzajowe (zespół kont 4) są rozliczane na koszty działalności podstawowej w układzie kalkulacyjnym (zespół kont 5) według działalności dydaktycznej i naukowo-badawczej oraz poszczególnych projektów, a rachunek zysków i strat jest sporządzany w wariancie porównawczym (zasady rachunkowości PRz opisane w sprawozdaniu). </w:t>
      </w:r>
      <w:r>
        <w:rPr>
          <w:b w:val="0"/>
          <w:highlight w:val="yellow"/>
        </w:rPr>
        <w:t>PRz (kwestor) potwierdza i krótko opisuje, co składa się na zmianę stanu produktów minus 16 520 tys. zł w 2025 r. i minus 11 912 tys. zł w 2024 r.</w:t>
      </w:r>
      <w:r>
        <w:rPr>
          <w:b w:val="0"/>
        </w:rPr>
        <w:t xml:space="preserve"> Strata na sprzedaży nie przekłada się na stratę brutto ani netto, bo pozostałe przychody operacyjne wyniosły 11 555 tys. zł (dotacje 10 134 tys. zł, zysk ze zbycia aktywów trwałych 129 tys. zł, inne 1 292 tys. zł), a pozostałe koszty operacyjne 554 tys. zł, więc zysk z działalności operacyjnej wynosi 7 530 tys. zł. Przychody finansowe wyniosły 7 855 tys. zł (odsetki 7 315 tys. zł, inne 540 tys. zł), koszty finansowe 209 tys. zł (odsetki 1 tys. zł), zysk brutto 15 176 tys. zł, podatek dochodowy 22 tys. zł, a zysk netto 15 154 tys. zł, czyli 4,4% przychodów netto ze sprzedaży.</w:t>
      </w:r>
    </w:p>
    <w:p>
      <w:pPr>
        <w:spacing w:after="60"/>
      </w:pPr>
      <w:r>
        <w:rPr>
          <w:b w:val="0"/>
        </w:rPr>
        <w:t xml:space="preserve">Różnice względem 2024 r. i pozycje jednorazowe. W 2024 r. zysk z działalności operacyjnej wynosił 31 790 tys. zł, a zysk netto 37 077 tys. zł. Spadek wyniku w 2025 r. wynika głównie z niższych innych przychodów operacyjnych (1 292 tys. zł wobec 23 988 tys. zł w 2024 r.) oraz z tego, że koszty wzrosły szybciej niż przychody; dotacje w pozostałych przychodach operacyjnych wzrosły z 8 398 do 10 134 tys. zł. </w:t>
      </w:r>
      <w:r>
        <w:rPr>
          <w:b w:val="0"/>
          <w:highlight w:val="yellow"/>
        </w:rPr>
        <w:t>PRz wyjaśnia, co złożyło się na inne przychody operacyjne 2024 r. (23 988 tys. zł)</w:t>
      </w:r>
      <w:r>
        <w:rPr>
          <w:b w:val="0"/>
        </w:rPr>
        <w:t xml:space="preserve"> Pozycje istotne dla wyniku 2025 r. to odsetki od środków pieniężnych i lokat (7 315 tys. zł, czyli 48% zysku netto; w 2024 r. 5 593 tys. zł), dotacje (10 134 tys. zł) i zmiana stanu produktów. Prognoza z arkuszy Przychody i Koszty operacyjne nie wyodrębnia ich, tylko przyjmuje zbiorcze przychody i koszty z planu rzeczowo-finansowego na 2026 r. (komentarze do tych arkuszy).</w:t>
      </w:r>
    </w:p>
    <w:p>
      <w:pPr>
        <w:spacing w:after="60"/>
      </w:pPr>
      <w:r>
        <w:rPr>
          <w:b w:val="0"/>
        </w:rPr>
        <w:t>Bilans na 31.12.2025 r. (w nawiasach 31.12.2024 r.): aktywa razem 525 239 tys. zł (489 122). Aktywa trwałe (350 933 tys. zł) to głównie rzeczowe aktywa trwałe 309 405 tys. zł (budynki i budowle 245 874 tys. zł, urządzenia i maszyny 35 729 tys. zł, grunty 8 246 tys. zł, środki trwałe w budowie 18 075 tys. zł, środki transportu 984 tys. zł, inne 497 tys. zł), inwestycje długoterminowe 40 445 tys. zł (głównie papiery wartościowe 40 421 tys. zł) i wartości niematerialne 1 066 tys. zł. Aktywa obrotowe (174 306 tys. zł) to środki pieniężne 157 378 tys. zł (125 431), należności 10 040 tys. zł, zapasy 5 759 tys. zł i rozliczenia międzyokresowe 1 129 tys. zł. Kapitał własny wynosi 354 572 tys. zł (339 956), czyli 67,5% sumy bilansowej (kapitał podstawowy 339 418 tys. zł i zysk netto 15 154 tys. zł). Zobowiązania i rezerwy (170 667 tys. zł) to rezerwy 58 182 tys. zł (w tym na świadczenia emerytalne 45 921 tys. zł), zobowiązania krótkoterminowe 57 148 tys. zł (dostawy i usługi 7 871 tys. zł, podatki i świadczenia 15 582 tys. zł, wynagrodzenia 11 231 tys. zł, inne 2 591 tys. zł, fundusze specjalne 19 873 tys. zł), zobowiązania długoterminowe 392 tys. zł oraz rozliczenia międzyokresowe bierne z tytułu dotacji 54 945 tys. zł (23 947 tys. zł długoterminowe i 30 998 tys. zł krótkoterminowe). PRz nie ma kredytów ani pożyczek.</w:t>
      </w:r>
    </w:p>
    <w:p>
      <w:pPr>
        <w:spacing w:after="60"/>
      </w:pPr>
      <w:r>
        <w:rPr>
          <w:b w:val="0"/>
        </w:rPr>
        <w:t>Przepływy pieniężne 2025 r. według sprawozdania: działalność operacyjna plus 45 194 tys. zł, inwestycyjna minus 28 418 tys. zł (nabycie aktywów trwałych 30 532 tys. zł), finansowa plus 15 171 tys. zł, przepływy netto plus 31 948 tys. zł, a środki pieniężne wzrosły ze 125 431 do 157 378 tys. zł, z czego 3 071 tys. zł ma ograniczoną możliwość dysponowania.</w:t>
      </w:r>
    </w:p>
    <w:p>
      <w:pPr>
        <w:spacing w:after="60"/>
      </w:pPr>
      <w:r>
        <w:rPr>
          <w:b w:val="0"/>
        </w:rPr>
        <w:t>Okres bieżący: zgodnie z pkt 6 Instrukcji, ponieważ PRz ma sprawozdanie za zamknięty rok obrotowy 2025, kolumna danych bieżących (F) nie jest wypełniona. Prognoza na lata 2026-2029 wynika z planu rzeczowo-finansowego PRz na 2026 r. (zarządzenie Rektora nr 20/2026 z 21.04.2026 r.) i stałego tempa wzrostu 4% rocznie (komentarze do arkuszy Przychody i Koszty operacyjne). Jej wynik jest bliski zeru (zysk netto w modelu 1 909 tys. zł w 2026 r., 0,5% przychodów; w planie 1 724,9 tys. zł), w odróżnieniu od 2025 r., na który złożyły się wysokie odsetki i dotacje.</w:t>
      </w:r>
    </w:p>
    <w:p>
      <w:pPr>
        <w:pStyle w:val="Heading2"/>
      </w:pPr>
      <w:r>
        <w:t>4.3 Arkusz Przychody (komórka B255)</w:t>
      </w:r>
    </w:p>
    <w:p>
      <w:pPr>
        <w:keepNext/>
        <w:spacing w:before="160" w:after="40"/>
      </w:pPr>
      <w:r>
        <w:rPr>
          <w:b/>
          <w:sz w:val="20"/>
        </w:rPr>
        <w:t>Komentarz do wklejenia, arkusz Przychody</w:t>
      </w:r>
      <w:r>
        <w:rPr>
          <w:color w:val="666666"/>
          <w:sz w:val="17"/>
        </w:rPr>
        <w:t xml:space="preserve"> [4379 znaków]</w:t>
      </w:r>
    </w:p>
    <w:p>
      <w:pPr>
        <w:spacing w:after="60"/>
      </w:pPr>
      <w:r>
        <w:rPr>
          <w:b w:val="0"/>
        </w:rPr>
        <w:t>Przychody dotychczasowej działalności PRz ujęto zbiorczo w jednej pozycji (subwencja, dotacje, opłaty za kształcenie, przychody z projektów badawczych i usług, pozostałe przychody operacyjne i przychody finansowe), z ilością równą 1 i ceną równą wartości przychodu. Instrukcja dopuszcza taki sposób dla organizacji badawczych z prawną możliwością odzyskania VAT (agregacja danych ze wszystkich źródeł). Z tego powodu pozycje „Pozostałe przychody operacyjne” i „Przychody finansowe” w prognozie są zerowe: ich odpowiedniki są zawarte w pozycji zbiorczej.</w:t>
      </w:r>
    </w:p>
    <w:p>
      <w:pPr>
        <w:spacing w:after="60"/>
      </w:pPr>
      <w:r>
        <w:rPr>
          <w:b w:val="0"/>
        </w:rPr>
        <w:t>Metodyka prognozy. Bazą jest plan rzeczowo-finansowy PRz na 2026 r., zmieniony zarządzeniem Rektora nr 20/2026 z 21.04.2026 r. po pozytywnej opinii Rady Uczelni (pierwotny plan: zarządzenie nr 103/2025 z 19.12.2025 r.). Przychody z działalności operacyjnej wynoszą 371 780,4 tys. zł, a przychody finansowe 6 500,0 tys. zł (w tym odsetki 6 400,0 tys. zł), razem 378 280 tys. zł. Przychody w kolejnych latach rosną o 4% rocznie, czyli o stopę dyskonta przyjętą w modelu, co Instrukcja dopuszcza dla organizacji badawczych, i wynoszą: 393 411 tys. zł w 2027 r., 409 148 tys. zł w 2028 r. i 425 514 tys. zł w 2029 r. Prognozę sporządzono w cenach stałych, więc wzrost 4% nie jest inflacją, tylko uproszczonym odzwierciedleniem rozwoju skali działalności uczelni.</w:t>
      </w:r>
    </w:p>
    <w:p>
      <w:pPr>
        <w:spacing w:after="60"/>
      </w:pPr>
      <w:r>
        <w:rPr>
          <w:b w:val="0"/>
        </w:rPr>
        <w:t>Struktura przychodów planu na 2026 r. (371 780,4 tys. zł): subwencja na utrzymanie potencjału dydaktycznego i badawczego 281 491,8 tys. zł (75,7%), opłaty za usługi edukacyjne 22 594,8 tys. zł (6,1%), pozostałe przychody z podstawowej działalności operacyjnej 24 100,0 tys. zł (6,5%, w tym opłaty za domy i stołówki studenckie 7 533,0 tys. zł), środki na przedsięwzięcia współfinansowane ze źródeł zagranicznych, niepodlegające zwrotowi, 12 813,6 tys. zł (3,4%), dotacje z budżetu państwa 10 108,2 tys. zł (2,7%), pozostałe przychody operacyjne 9 696,6 tys. zł (2,6%, w tym odpisy dotacji na sfinansowane z nich aktywa), sprzedaż prac i usług badawczo-rozwojowych 7 229,3 tys. zł (1,9%), projekty NCBR i NCN 2 457,0 tys. zł (0,7%) oraz pozostałe pozycje (programy ministra 1 081,4 tys. zł, samorządy 147,7 tys. zł, towary i koszt wytworzenia świadczeń na własne potrzeby 60,0 tys. zł). Przychody mają więc charakter krajowy i w trzech czwartych pochodzą z subwencji, a nie z konkurencyjnej sprzedaży, co tłumaczy ich stabilność.</w:t>
      </w:r>
    </w:p>
    <w:p>
      <w:pPr>
        <w:spacing w:after="60"/>
      </w:pPr>
      <w:r>
        <w:rPr>
          <w:b w:val="0"/>
        </w:rPr>
        <w:t>Ciągłość z danymi historycznymi. Plan na 2026 r. (378 280 tys. zł) obejmuje także pozycje, które w sprawozdaniu za 2025 r. leżą poniżej zysku ze sprzedaży: pozostałe przychody operacyjne (11 555 tys. zł) i przychody finansowe (7 855 tys. zł). Porównywalna wartość z 2025 r. to 362 162 tys. zł (przychody netto ze sprzedaży 342 752 + 11 555 + 7 855), więc plan jest o 4,4% wyższy. Jeśli z danych 2025 r. wyłączyć ujemną zmianę stanu produktów (minus 16 520 tys. zł, zob. komentarz do arkusza Sprawozdania finansowe), której plan na 2026 r. nie zakłada (wartość 0,0), porównywalna wartość wynosi 378 682 tys. zł, a plan na 2026 r. jest od niej niższy o 0,1%. Prognoza nie zakłada więc istotnego wzrostu ani spadku przychodów względem faktycznej skali działalności z 2025 r., a tempo 4% rocznie w latach 2027-2029 jest zgodne z Instrukcją. Z tego powodu wskaźniki rentowności sprzedaży w prognozie nie są bezpośrednio porównywalne z 2025 r., bo przychody ze sprzedaży w prognozie zawierają pozycje, które w 2025 r. wykazano osobno.</w:t>
      </w:r>
    </w:p>
    <w:p>
      <w:pPr>
        <w:spacing w:after="60"/>
      </w:pPr>
      <w:r>
        <w:rPr>
          <w:b w:val="0"/>
        </w:rPr>
        <w:t>Dla finansowania projektu z bieżącej działalności Instrukcja wymaga szczegółowej metodyki prognozy przychodów, danych ilościowych i jakościowych oraz uzasadnienia znaczącego wzrostu przychodów. Metodykę i dane podano powyżej, a znaczącego wzrostu nie zakładamy. Z bieżącej działalności PRz finansuje wyłącznie kwotę 33 971 zł (VAT od aparatury), czyli 0,009% planowanych przychodów 2026 r.</w:t>
      </w:r>
    </w:p>
    <w:p>
      <w:pPr>
        <w:spacing w:after="60"/>
      </w:pPr>
      <w:r>
        <w:rPr>
          <w:b w:val="0"/>
        </w:rPr>
        <w:t>Przychody Projektu. PRz nie wykazuje przychodów z projektu: wydatki kwalifikowalne (1 033 965,90 zł) pokrywa dotacja, a dotacja jest ujęta w pozostałych przychodach operacyjnych w arkuszu Rozliczenie dotacji. Zgodnie z Instrukcją w modelu nie uwzględniono sprzedaży wyników prac B+R pomiędzy członkami konsorcjum. Planowane przeniesienie praw majątkowych PRz do wyników projektu na Lidera, jego zasady i źródło sfinansowania opisano w komentarzu do arkusza Finansowanie. Produkt projektu ma zastosowanie wyłącznie cywilne (transport drogowy), więc nie dotyczy go podział przychodów na zastosowanie cywilne i militarne.</w:t>
      </w:r>
    </w:p>
    <w:p>
      <w:pPr>
        <w:pStyle w:val="Heading2"/>
      </w:pPr>
      <w:r>
        <w:t>4.4 Arkusz Koszty operacyjne (komórka B645)</w:t>
      </w:r>
    </w:p>
    <w:p>
      <w:pPr>
        <w:keepNext/>
        <w:spacing w:before="160" w:after="40"/>
      </w:pPr>
      <w:r>
        <w:rPr>
          <w:b/>
          <w:sz w:val="20"/>
        </w:rPr>
        <w:t>Komentarz do wklejenia, arkusz Koszty operacyjne</w:t>
      </w:r>
      <w:r>
        <w:rPr>
          <w:color w:val="666666"/>
          <w:sz w:val="17"/>
        </w:rPr>
        <w:t xml:space="preserve"> [6865 znaków]</w:t>
      </w:r>
    </w:p>
    <w:p>
      <w:pPr>
        <w:spacing w:after="60"/>
      </w:pPr>
      <w:r>
        <w:rPr>
          <w:b w:val="0"/>
        </w:rPr>
        <w:t>Koszty dotychczasowej działalności PRz wprowadzono zbiorczo w jednej pozycji (Pozostałe koszty rodzajowe), co Instrukcja dopuszcza dla organizacji badawczych z prawną możliwością odzyskania VAT. Podstawą jest plan rzeczowo-finansowy PRz na 2026 r. (zarządzenie Rektora nr 20/2026 z 21.04.2026 r.): koszty działalności operacyjnej 376 370,5 tys. zł, w tym wynagrodzenia 225 552,5 tys. zł (59,9%), ubezpieczenia społeczne i inne świadczenia 60 188,0 tys. zł (16,0%), zużycie materiałów i energii 27 900,0 tys. zł (7,4%), amortyzacja 26 546,6 tys. zł (7,1%), usługi obce 18 000,0 tys. zł (4,8%), pozostałe koszty rodzajowe 15 693,4 tys. zł (4,2%), podatki i opłaty 1 780,0 tys. zł (0,5%) oraz pozostałe koszty operacyjne i wartość sprzedanych towarów 710,0 tys. zł (0,2%). Plan nie zakłada zmiany stanu produktów (wartość 0,0). Koszty finansowe (160,0 tys. zł) i podatek dochodowy (25,0 tys. zł) z planu nie są ujęte w modelu, więc zysk netto w modelu (1 909 tys. zł) jest o 185 tys. zł wyższy od planu (1 724,9 tys. zł), czyli o 0,05% przychodów, co nie ma wpływu na ocenę. W kolejnych latach koszty rosną o 4% rocznie, czyli o stopę dyskonta modelu, tak samo jak przychody (zob. komentarz do arkusza Przychody): 391 426 tys. zł w 2027 r., 407 083 tys. zł w 2028 r. i 423 366 tys. zł w 2029 r. Ponieważ w jednej pozycji ujęto także amortyzację (26 546,6 tys. zł w planie 2026 r., 22 670 tys. zł w 2025 r.), w prognozie nie jest ona wykazana osobno (wiersz amortyzacji jest zerowy), a skutki tego uproszczenia opisano w komentarzu do arkusza Środki trwałe.</w:t>
      </w:r>
    </w:p>
    <w:p>
      <w:pPr>
        <w:spacing w:after="60"/>
      </w:pPr>
      <w:r>
        <w:rPr>
          <w:b w:val="0"/>
        </w:rPr>
        <w:t>Ciągłość z danymi historycznymi. Koszty działalności operacyjnej w 2025 r. wyniosły 346 223 tys. zł, więc plan na 2026 r. jest od nich wyższy o 8,7%. Różnicę wyjaśnia przede wszystkim ujemna zmiana stanu produktów w 2025 r. (minus 16 520 tys. zł), która w wariancie porównawczym obniżyła przychody, a nie podniosła kosztów rodzajowych (zob. komentarz do arkusza Sprawozdania finansowe). Po jej uwzględnieniu koszty 2025 r. wynoszą 362 743 tys. zł, a plan 2026 r. jest od nich wyższy o 3,8%, czyli o wartość zbliżoną do tempa wzrostu 4%. Największe zmiany pozycji w planie względem 2025 r. to usługi obce (18 000 wobec 13 101 tys. zł), amortyzacja (26 547 wobec 22 670 tys. zł) i pozostałe koszty rodzajowe (15 693 wobec 12 534 tys. zł); wynagrodzenia rosną o 4,9%, a materiały i energia oraz świadczenia o 8,7%. Plan jest ostrożny: koszty rosną szybciej niż przychody, więc zakładany wynik netto (1 909 tys. zł w 2026 r., 0,5% przychodów) jest znacznie niższy niż w 2025 r. (15 154 tys. zł), na który złożyły się odsetki (7 315 tys. zł) i dotacje (10 134 tys. zł).</w:t>
      </w:r>
    </w:p>
    <w:p>
      <w:pPr>
        <w:spacing w:after="60"/>
      </w:pPr>
      <w:r>
        <w:rPr>
          <w:b w:val="0"/>
        </w:rPr>
        <w:t>Koszty Projektu. Wszystkie wydatki kwalifikowalne PRz (1 033 965,90 zł) wynikają z budżetu wniosku i są w całości kwalifikowalne, a dofinansowanie wynosi 100% (działalność niegospodarcza organizacji badawczej, bez pomocy publicznej). Składają się na nie cztery grupy kosztów.</w:t>
      </w:r>
    </w:p>
    <w:p>
      <w:pPr>
        <w:spacing w:after="60"/>
      </w:pPr>
      <w:r>
        <w:rPr>
          <w:b w:val="0"/>
        </w:rPr>
        <w:t xml:space="preserve">1) Wynagrodzenia zespołu badawczego PRz: 679 472,72 zł, z czego 386 478,00 zł to badania przemysłowe w zadaniach Z1 i Z3 (24, 277 i 86 tys. zł w latach 2026-2028), a 292 994,72 zł to prace rozwojowe w zadaniach Z4, Z5 i Z8 (223 tys. zł w 2028 r. i 70 tys. zł w 2029 r.). Model ujmuje je w dwóch zagregowanych pozycjach (po 8 osób), z liczbą etatów, miesięcy i średnim miesięcznym kosztem: badania przemysłowe 0,96 etatu przez 2 miesiące w 2026 r., 1,85 etatu przez 12 miesięcy w 2027 r. i 1,72 etatu przez 4 miesiące w 2028 r. po 12,44 tys. zł miesięcznie na etat, a prace rozwojowe 2,35 etatu przez 8 miesięcy w 2028 r. i 1,48 etatu przez 4 miesiące w 2029 r. po 11,87 tys. zł. Dane są wyliczone z budżetu godzinowego wniosku (stawki godzinowe, godziny i osoby w pkt 3.1 wniosku), a ich suma jest równa sumie wynagrodzeń z budżetu. Koszt wynagrodzeń podano w pełnej wysokości kosztu zatrudnienia wynikającej ze stawek godzinowych wniosku, bez odrębnego wykazywania składek </w:t>
      </w:r>
      <w:r>
        <w:rPr>
          <w:b w:val="0"/>
          <w:highlight w:val="yellow"/>
        </w:rPr>
        <w:t>PRz potwierdza, że stawki godzinowe obejmują składki pracodawcy</w:t>
      </w:r>
      <w:r>
        <w:rPr>
          <w:b w:val="0"/>
        </w:rPr>
        <w:t>. Zgodnie z Instrukcją prace rozwojowe w ostatnim roku (2029) obejmują tylko cztery miesiące, w których faktycznie są realizowane (styczeń-kwiecień 2029 r.).</w:t>
      </w:r>
    </w:p>
    <w:p>
      <w:pPr>
        <w:spacing w:after="60"/>
      </w:pPr>
      <w:r>
        <w:rPr>
          <w:b w:val="0"/>
        </w:rPr>
        <w:t>2) Aparatura badawcza (amortyzacja): 147 700,00 zł netto, w całości kwalifikowalna ze 100% dofinansowaniem. Zakup jest zaplanowany w pierwszym półroczu 2027 r. dla zadań Z1 i Z3 (sprzęt do zadania Z1 od miesiąca M4, do zadania Z3 od miesiąca M6). Każdy składnik ma wartość początkową do 10 tys. zł netto, więc zgodnie z polityką rachunkowości PRz (składniki o wartości do 10 000 zł ujmuje się w ewidencji środków trwałych, ale ich wartość odpisuje się jednorazowo w koszty z chwilą wydania do używania; zasady opisane w sprawozdaniu za 2025 r.) jest odpisywany jednorazowo w miesiącu oddania do używania (stawka roczna 100%, okres amortyzacji 1 miesiąc, jak w opisach kosztów w pkt 3.1 wniosku), co w skutkach odpowiada uwadze 1 do arkusza Środki trwałe w Instrukcji (środki trwałe poniżej 10 tys. zł amortyzuje się jednorazowo w roku zakupu). Dlatego cała wartość 147 700 zł jest kosztem 2027 r. Ujęto ją w pozycji Zużycie materiałów i energii (Projekt), a nie w tabeli amortyzacji arkusza Środki trwałe, co daje ten sam wynik w rachunku zysków i strat, w przepływach i w dofinansowaniu (zob. komentarz do arkusza Środki trwałe). Aparatura będzie używana wyłącznie w projekcie, a po jego zakończeniu zostanie zlikwidowana protokołem likwidacji. Podatek VAT od aparatury (33 971 zł) nie jest kosztem kwalifikowalnym i jest pokrywany ze środków własnych PRz (zob. komentarz do arkusza Finansowanie).</w:t>
      </w:r>
    </w:p>
    <w:p>
      <w:pPr>
        <w:spacing w:after="60"/>
      </w:pPr>
      <w:r>
        <w:rPr>
          <w:b w:val="0"/>
        </w:rPr>
        <w:t>3) Koszty pośrednie rozliczane ryczałtem 25% kosztów bezpośrednich (wynagrodzenia i amortyzacja): 206 793,18 zł, z czego 133 544,50 zł przypada na badania przemysłowe (25% z 386 478,00 + 147 700,00 zł) i 73 248,68 zł na prace rozwojowe (25% z 292 994,72 zł). W latach realizacji wynoszą 6, 106, 77 i 18 tys. zł (łącznie 207 tys. zł po zaokrągleniu), proporcjonalnie do kosztów bezpośrednich. Zgodnie z uwagą 4 do arkusza w Instrukcji ujęto je w pozycji Pozostałe koszty rodzajowe (Projekt) i oznaczono jako koszt kwalifikowalny z dofinansowaniem 100%.</w:t>
      </w:r>
    </w:p>
    <w:p>
      <w:pPr>
        <w:spacing w:after="60"/>
      </w:pPr>
      <w:r>
        <w:rPr>
          <w:b w:val="0"/>
        </w:rPr>
        <w:t>Suma kosztów kwalifikowalnych w modelu (679 472,72 + 147 700,00 + 206 793,18) wynosi 1 033 965,90 zł i pokrywa się z budżetem wniosku oraz z arkuszem Zaliczka-refundacja. Koszty prac rozwojowych (wynagrodzenia, 293 tys. zł) model aktywuje w kwietniu 2029 r. jako koszty zakończonych prac rozwojowych (arkusz Środki trwałe), więc w rachunku zysków i strat 2028 r. i 2029 r. widać tylko pozostałe koszty projektu (163 tys. zł w 2028 r. i 18 tys. zł w 2029 r.). Pozostałe koszty projektu (30 tys. zł w 2026 r. i 531 tys. zł w 2027 r.) są kosztem okresu i są pokrywane dotacją. W projekcie nie ma podwykonawstwa, wydatków na internacjonalizację ani kosztów sprzedaży lub zakupu wyników prac B+R pomiędzy członkami konsorcjum (Instrukcja wymaga ich pominięcia w modelu, a transakcję opisano w komentarzu do arkusza Finansowanie).</w:t>
      </w:r>
    </w:p>
    <w:p>
      <w:pPr>
        <w:pStyle w:val="Heading2"/>
      </w:pPr>
      <w:r>
        <w:t>4.5 Arkusz Środki trwałe (komórka B873)</w:t>
      </w:r>
    </w:p>
    <w:p>
      <w:pPr>
        <w:keepNext/>
        <w:spacing w:before="160" w:after="40"/>
      </w:pPr>
      <w:r>
        <w:rPr>
          <w:b/>
          <w:sz w:val="20"/>
        </w:rPr>
        <w:t>Komentarz do wklejenia, arkusz Środki trwałe</w:t>
      </w:r>
      <w:r>
        <w:rPr>
          <w:color w:val="666666"/>
          <w:sz w:val="17"/>
        </w:rPr>
        <w:t xml:space="preserve"> [3807 znaków]</w:t>
      </w:r>
    </w:p>
    <w:p>
      <w:pPr>
        <w:spacing w:after="60"/>
      </w:pPr>
      <w:r>
        <w:rPr>
          <w:b w:val="0"/>
        </w:rPr>
        <w:t>Środki trwałe dotychczasowej działalności. Wartość księgowa netto na 31.12.2025 r. (wartości niematerialne 1 066 tys. zł; grunty 8 246 tys. zł; budynki i budowle 245 874 tys. zł; urządzenia techniczne i maszyny 35 729 tys. zł; środki transportu 984 tys. zł; inne środki trwałe 497 tys. zł; środki trwałe w budowie 18 075 tys. zł) pochodzi ze sprawozdania finansowego za 2025 r. W prognozie 2026-2029 wszystkie te wartości utrzymano bez zmian: nie prognozowano odrębnie amortyzacji ani zakupów, ponieważ koszty dotychczasowej działalności (wraz z amortyzacją) wprowadzono zbiorczo w arkuszu Koszty operacyjne. Plan rzeczowo-finansowy na 2026 r. przewiduje amortyzację 26 546,6 tys. zł i nakłady na rzeczowe aktywa trwałe i wartości niematerialne 60 152,2 tys. zł (w tym sfinansowane lub dofinansowane z dotacji celowych 22 092,7 tys. zł), a w 2025 r. amortyzacja wyniosła 22 670 tys. zł, a nabycie aktywów trwałych 30 532 tys. zł. Model nie wyodrębnia ani amortyzacji, ani tych nakładów (koszt amortyzacji jest w kosztach zbiorczych), więc przyjęto uproszczenie, że wartość majątku się nie zmienia. Uproszczenie nie zmienia wyniku, ale pomija różnicę nakładów i amortyzacji (w 2026 r. ok. 33,6 mln zł), więc prognozowane środki pieniężne są wyższe niż po uwzględnieniu planu inwestycyjnego. Skutek dla płynności opisano w komentarzu do arkusza Ocena kondycji finansowej, a dla projektu nie ma on znaczenia (wydatki projektu to 1 033 965,90 zł). PRz nie rozlicza w projekcie amortyzacji posiadanych środków trwałych, więc tabela „posiadane środki trwałe wykorzystane do realizacji projektu” jest pusta.</w:t>
      </w:r>
    </w:p>
    <w:p>
      <w:pPr>
        <w:spacing w:after="60"/>
      </w:pPr>
      <w:r>
        <w:rPr>
          <w:b w:val="0"/>
        </w:rPr>
        <w:t>Środki trwałe Projektu. Aparaturę badawczą o wartości 147 700 zł netto (zakup w pierwszym półroczu 2027 r. dla zadań Z1 i Z3) PRz odpisuje jednorazowo w miesiącu oddania do używania, ponieważ każdy składnik ma wartość początkową do 10 tys. zł netto (polityka rachunkowości PRz: składniki o wartości do 10 000 zł odpisuje się jednorazowo w koszty z chwilą wydania do używania; w skutkach jest to zgodne z uwagą 1 do arkusza Środki trwałe w Instrukcji, według której środki trwałe poniżej 10 tys. zł są amortyzowane jednorazowo w roku zakupu). Z tego powodu aparatury nie wprowadzono do tabel zakupu, bo jej wartość w całości jest kosztem roku 2027, a dofinansowanie dotyczy amortyzacji (przypisy do Instrukcji: w projektach B+R dofinansowanie dotyczy wyłącznie amortyzacji środków trwałych). Pozycję ujęto w arkuszu Koszty operacyjne, w pozycji Zużycie materiałów i energii (Projekt), w kwocie 148 tys. zł w 2027 r. jako koszt kwalifikowalny ze 100% dofinansowaniem. Wynik jest taki sam, jak po wpisaniu aparatury do tabeli z jednorazową amortyzacją: koszt 2027 r. wynosi 147,7 tys. zł, dofinansowanie 147,7 tys. zł, a wartość księgowa netto na koniec 2027 r. jest równa zero. Po zakończeniu projektu aparatura zostanie zlikwidowana protokołem likwidacji, więc nie pozostaje w majątku PRz. Podatek VAT od aparatury (33 971 zł) opisano w komentarzu do arkusza Finansowanie.</w:t>
      </w:r>
    </w:p>
    <w:p>
      <w:pPr>
        <w:spacing w:after="60"/>
      </w:pPr>
      <w:r>
        <w:rPr>
          <w:b w:val="0"/>
        </w:rPr>
        <w:t>Koszty zakończonych prac rozwojowych. Wynagrodzenia z prac rozwojowych (Z4, Z5 i Z8) w kwocie 293 tys. zł (223 tys. zł poniesione w 2028 r. i 70 tys. zł w 2029 r.) model aktywuje w kwietniu 2029 r., w momencie zakończenia prac rozwojowych, jako wartość niematerialną z dofinansowaniem 100%. W bilansie PRz na koniec 2029 r. pojawia się więc 293 tys. zł wartości niematerialnej i równa kwota rozliczeń międzyokresowych biernych z tytułu dotacji. Amortyzacji tej wartości nie ujęto: PRz zgodnie z umową konsorcjum przekaże wyniki prac Liderowi (zob. komentarz do arkusza Finansowanie), a poza 2029 r. model PRz nie ma danych. Stawkę amortyzacji kosztów zakończonych prac rozwojowych (komórki C195 i C196) ustawiono na 0%, ponieważ PRz nie amortyzuje tych wyników. Koszty pośrednie (ryczałt) nie są aktywowane i pozostają kosztem okresu.</w:t>
      </w:r>
    </w:p>
    <w:p>
      <w:pPr>
        <w:pStyle w:val="Heading2"/>
      </w:pPr>
      <w:r>
        <w:t>4.6 Arkusz Rozliczenie dotacji (komórka B327)</w:t>
      </w:r>
    </w:p>
    <w:p>
      <w:pPr>
        <w:keepNext/>
        <w:spacing w:before="160" w:after="40"/>
      </w:pPr>
      <w:r>
        <w:rPr>
          <w:b/>
          <w:sz w:val="20"/>
        </w:rPr>
        <w:t>Komentarz do wklejenia, arkusz Rozliczenie dotacji</w:t>
      </w:r>
      <w:r>
        <w:rPr>
          <w:color w:val="666666"/>
          <w:sz w:val="17"/>
        </w:rPr>
        <w:t xml:space="preserve"> [2633 znaków]</w:t>
      </w:r>
    </w:p>
    <w:p>
      <w:pPr>
        <w:spacing w:after="60"/>
      </w:pPr>
      <w:r>
        <w:rPr>
          <w:b w:val="0"/>
        </w:rPr>
        <w:t>PRz ma prawną możliwość odzyskania podatku VAT, w związku z czym, zgodnie z Instrukcją, nie wypełniono szczegółowych tabel rozterminowania w wierszach 18-22, 28-32 i 38-42. Wartość rozliczeń międzyokresowych biernych z tytułu dotacji w bilansie na 31.12.2025 r. wynosi 54 945 tys. zł (23 947 tys. zł długoterminowe i 30 998 tys. zł krótkoterminowe) i jest wykazana zbiorczo jako kwota pozostająca do rozliczenia (komórka J15). Utrzymano ją na stałym poziomie w całym okresie 2026-2029, ponieważ odpisy dotacji (równowartość amortyzacji sfinansowanej z dotacji: 10 134 tys. zł w 2025 r., a według danych PRz 11 100, 7 735 i 5 711 tys. zł w latach 2026-2028) są w prognozie zawarte w zbiorczych przychodach z arkusza Przychody, a PRz otrzymuje kolejne dotacje na inwestycje (plan 2026 r.: nakłady sfinansowane lub dofinansowane z dotacji celowych 22 092,7 tys. zł). Jest to uproszczenie, które nie wpływa na wynik, bo odpisy dotacji są już w przychodach.</w:t>
      </w:r>
    </w:p>
    <w:p>
      <w:pPr>
        <w:spacing w:after="60"/>
      </w:pPr>
      <w:r>
        <w:rPr>
          <w:b w:val="0"/>
        </w:rPr>
        <w:t>Dotacja na Projekt. Dofinansowanie wynosi 1 033 965,90 zł (100% wydatków kwalifikowalnych) i obejmuje 667 722,50 zł na badania przemysłowe oraz 366 243,40 zł na prace rozwojowe. Model ujmuje dotację w tym samym roku, w którym ponoszony jest koszt, który ona finansuje. Dotacja do kosztów operacyjnych, które nie są pracami rozwojowymi, jest pozostałym przychodem operacyjnym i wynosi 30 tys. zł w 2026 r., 531 tys. zł w 2027 r., 163 tys. zł w 2028 r. i 18 tys. zł w 2029 r. Dotacja do prac rozwojowych (223 tys. zł w 2028 r. i 70 tys. zł w 2029 r., razem 293 tys. zł) trafia do rozliczeń międzyokresowych biernych w kwietniu 2029 r., w momencie aktywowania kosztów zakończonych prac rozwojowych (zob. komentarz do arkusza Środki trwałe), i jest rozliczana po 2029 r., czyli poza okresem modelu PRz. Łączna dotacja w arkuszu Opłacalność wynosi 30, 531, 386 i 88 tys. zł, razem 1 035 tys. zł. Różnica 1 tys. zł względem kwoty z wniosku wynika z zaokrągleń do tysiąca złotych opisanych w pkt 11 Instrukcji.</w:t>
      </w:r>
    </w:p>
    <w:p>
      <w:pPr>
        <w:spacing w:after="60"/>
      </w:pPr>
      <w:r>
        <w:rPr>
          <w:b w:val="0"/>
        </w:rPr>
        <w:t>Ujęcie księgowe a wpływy gotówkowe. Przychód z dotacji w arkuszu odpowiada kosztom roku, natomiast wpływy PRz wynikają z harmonogramu płatności w arkuszu Zaliczka-refundacja: sześć zaliczek od II półrocza 2026 r. (56 868,12 zł) do I półrocza 2029 r. i refundacja końcowa w II półroczu 2029 r. (104 430,56 zł). Wpływy wyprzedzają koszty (np. zaliczka 56,9 tys. zł w II półroczu 2026 r. wobec kosztów 30 tys. zł w 2026 r.), a różnice są nieistotne dla płynności PRz, bo wydatki całego projektu stanowią około 0,7% środków pieniężnych PRz z 31.12.2025 r. (157 378 tys. zł). Pełny harmonogram płatności i spełnienie limitów Instrukcji opisano w komentarzu do arkusza Finansowanie.</w:t>
      </w:r>
    </w:p>
    <w:p>
      <w:pPr>
        <w:pStyle w:val="Heading2"/>
      </w:pPr>
      <w:r>
        <w:t>4.7 Arkusz Kapitał pracujący (komórka B133)</w:t>
      </w:r>
    </w:p>
    <w:p>
      <w:pPr>
        <w:keepNext/>
        <w:spacing w:before="160" w:after="40"/>
      </w:pPr>
      <w:r>
        <w:rPr>
          <w:b/>
          <w:sz w:val="20"/>
        </w:rPr>
        <w:t>Komentarz do wklejenia, arkusz Kapitał pracujący</w:t>
      </w:r>
      <w:r>
        <w:rPr>
          <w:color w:val="666666"/>
          <w:sz w:val="17"/>
        </w:rPr>
        <w:t xml:space="preserve"> [2603 znaków]</w:t>
      </w:r>
    </w:p>
    <w:p>
      <w:pPr>
        <w:spacing w:after="60"/>
      </w:pPr>
      <w:r>
        <w:rPr>
          <w:b w:val="0"/>
        </w:rPr>
        <w:t>Dotychczasowa działalność. Rotację zapasów, należności i zobowiązań obliczył model w opcji „kalkulacja z modelu” na podstawie danych bilansowych i wyniku za 2025 r. (zapasy 5 759 tys. zł, należności z tytułu dostaw i usług 2 959 tys. zł, zobowiązania z tytułu dostaw i usług 7 871 tys. zł). Wynik to 6 dni rotacji zapasów, 3 dni rotacji należności i 8 dni rotacji zobowiązań, utrzymane bez zmian w latach 2026-2029. Kalkulacji własnej nie zastosowano, więc nie wymaga ona uzasadnienia. Niski poziom rotacji należności z tytułu dostaw i usług (2 959 tys. zł, czyli 0,9% przychodów) wynika ze struktury przychodów uczelni: ok. 76% planowanych przychodów to subwencja, a dalsze 6% to opłaty za kształcenie, a nie faktury wystawiane odbiorcom z odroczonym terminem płatności (struktura przychodów w komentarzu do arkusza Przychody). Kapitał pracujący dotychczasowej działalności (zapasy plus należności minus zobowiązania z tytułu dostaw i usług) wynosi 7 928 tys. zł w 2025 r. i 1 047, 1 089, 1 129 oraz 1 177 tys. zł w latach 2026-2029.</w:t>
      </w:r>
    </w:p>
    <w:p>
      <w:pPr>
        <w:spacing w:after="60"/>
      </w:pPr>
      <w:r>
        <w:rPr>
          <w:b w:val="0"/>
        </w:rPr>
        <w:t>Konwencja modelu. Model prognozuje wyłącznie zapasy, należności i zobowiązania z tytułu dostaw i usług (należności 3 109 tys. zł w 2026 r., zobowiązania 8 249 tys. zł). Pozostałe pozycje bilansu (należności z tytułu podatków i dotacji 440 tys. zł, inne należności 6 641 tys. zł, zobowiązania z tytułu podatków i wynagrodzeń, fundusze specjalne i pozostałe zobowiązania 49 277 tys. zł) utrzymano w arkuszu Ocena kondycji finansowej na poziomie z 31.12.2025 r. Skutek tej konwencji jest widoczny w rachunku przepływów 2026 r.: spadek należności ogółem z 10 040 do 3 109 tys. zł daje dodatnią zmianę 6 931 tys. zł. Nie oznacza ona spodziewanego dodatkowego wpływu gotówki i nie ma znaczenia dla oceny zdolności finansowej, bo środki pieniężne PRz (157 378 tys. zł) ponad 150 razy przewyższają wszystkie wydatki projektu (1 033 965,90 zł).</w:t>
      </w:r>
    </w:p>
    <w:p>
      <w:pPr>
        <w:spacing w:after="60"/>
      </w:pPr>
      <w:r>
        <w:rPr>
          <w:b w:val="0"/>
        </w:rPr>
        <w:t>Projekt. Rotacja należności, zapasów i zobowiązań dla Projektu wynosi 0 dni (arkusz Założenia), więc kapitał pracujący Projektu jest równy zero. Projekt nie generuje przychodów ani zapasów, a koszty są ponoszone i rozliczane w tym samym okresie ze środków dotacji w systemie zaliczkowym. To istotna różnica względem dotychczasowej działalności (6, 3 i 8 dni), ale wynika z charakteru projektu: PRz realizuje wyłącznie prace badawczo-rozwojowe finansowane dotacją, bez sprzedaży. Wydatki projektu (30 tys. zł w 2026 r. i 531 tys. zł w 2027 r.) są zbyt małe względem kosztów całej działalności (376-423 mln zł rocznie), aby zmieniały cykle rotacji, więc dla całości działalności z projektem rotacja pozostaje na poziomie 6, 3 i 8 dni.</w:t>
      </w:r>
    </w:p>
    <w:p>
      <w:pPr>
        <w:pStyle w:val="Heading2"/>
      </w:pPr>
      <w:r>
        <w:t>4.8 Arkusz Finansowanie (komórka B179)</w:t>
      </w:r>
    </w:p>
    <w:p>
      <w:pPr>
        <w:keepNext/>
        <w:spacing w:before="160" w:after="40"/>
      </w:pPr>
      <w:r>
        <w:rPr>
          <w:b/>
          <w:sz w:val="20"/>
        </w:rPr>
        <w:t>Komentarz do wklejenia, arkusz Finansowanie</w:t>
      </w:r>
      <w:r>
        <w:rPr>
          <w:color w:val="666666"/>
          <w:sz w:val="17"/>
        </w:rPr>
        <w:t xml:space="preserve"> [4314 znaków]</w:t>
      </w:r>
    </w:p>
    <w:p>
      <w:pPr>
        <w:spacing w:after="60"/>
      </w:pPr>
      <w:r>
        <w:rPr>
          <w:b w:val="0"/>
        </w:rPr>
        <w:t>Struktura finansowania dotychczasowej działalności nie zmienia się w okresie prognozy: nie ma planowanych dopłat do kapitału (kapitał podstawowy 339 418 tys. zł jest stały), wypłat z zysku ani dywidendy, nowych kredytów, pożyczek, leasingu finansowego, depozytów bankowych ani wpływów z oprocentowania. PRz nie ma kredytów ani pożyczek, a nadwyżki finansowe zwiększają kapitał własny (zysk netto 1 909, 1 985, 2 065 i 2 148 tys. zł w latach 2026-2029). Środki pieniężne wynoszą 157 378 tys. zł na 31.12.2025 r. (z czego 3 071 tys. zł ma ograniczoną możliwość dysponowania) i 166 168, 168 111, 170 136 oraz 172 236 tys. zł na koniec lat 2026-2029.</w:t>
      </w:r>
    </w:p>
    <w:p>
      <w:pPr>
        <w:spacing w:after="60"/>
      </w:pPr>
      <w:r>
        <w:rPr>
          <w:b w:val="0"/>
        </w:rPr>
        <w:t xml:space="preserve">Sposób finansowania Projektu. Wydatki ogółem PRz wynoszą 1 067 936,90 zł, a wydatki kwalifikowalne 1 033 965,90 zł (pkt 4.1 wniosku). Dofinansowanie pokrywa 100% wydatków kwalifikowalnych, w systemie zaliczkowym z refundacją końcową. PRz nie zaciąga kredytu ani pożyczki i nie korzysta z leasingu. Jedyny wkład PRz to środki własne w kwocie 33 971 zł, czyli podatek VAT 23% od aparatury badawczej (147 700 zł netto), który nie jest kosztem kwalifikowalnym. Zgodnie z pkt 13 Instrukcji opisujemy źródło pokrycia tego VAT do momentu jego odzyskania: PRz zapłaci go w pierwszym półroczu 2027 r., przy zakupie aparatury, ze środków na rachunkach bieżących (środki z bieżącej działalności) i odzyska go w rozliczeniach VAT, bo ma prawną możliwość jego odzyskania </w:t>
      </w:r>
      <w:r>
        <w:rPr>
          <w:b w:val="0"/>
          <w:highlight w:val="yellow"/>
        </w:rPr>
        <w:t>PRz potwierdza tryb i termin odzyskania VAT</w:t>
      </w:r>
      <w:r>
        <w:rPr>
          <w:b w:val="0"/>
        </w:rPr>
        <w:t>. Kwota 33 971 zł to 0,009% planowanych przychodów PRz w 2026 r. i 0,02% środków pieniężnych z 31.12.2025 r., więc pokrycie jej nie wymaga żadnych dodatkowych źródeł. Model jest prowadzony w kwotach netto, dlatego VAT nie jest w nim widoczny, a pozycje „Dopłaty do kapitału” i „Środki własne z działalności dotychczasowej na finansowanie Projektu” są zerowe.</w:t>
      </w:r>
    </w:p>
    <w:p>
      <w:pPr>
        <w:spacing w:after="60"/>
      </w:pPr>
      <w:r>
        <w:rPr>
          <w:b w:val="0"/>
        </w:rPr>
        <w:t>Finansowanie z bieżącej działalności. Zdolność PRz do pokrycia 33 971 zł potwierdzają dotychczasowe wyniki (zysk netto za 2025 r. 15 154 tys. zł, środki pieniężne 157 378 tys. zł, płynność bieżąca 3,05, udział kapitałów własnych 67,5% i brak zadłużenia) oraz prognoza z arkuszy Przychody i Koszty operacyjne (zysk netto dodatni w każdym roku 2026-2029). Metodykę prognozy przychodów opisano w komentarzu do arkusza Przychody, a prognoza nie zakłada znaczącego wzrostu, więc kontrakty potwierdzające wzrost nie są potrzebne.</w:t>
      </w:r>
    </w:p>
    <w:p>
      <w:pPr>
        <w:spacing w:after="60"/>
      </w:pPr>
      <w:r>
        <w:rPr>
          <w:b w:val="0"/>
        </w:rPr>
        <w:t>Harmonogram płatności (arkusz Zaliczka-refundacja). Okres wniosków o płatność jest zgodny z realizacją projektu: pierwszy wniosek składany jest w II półroczu 2026 r. (projekt rozpoczyna się w listopadzie 2026 r.), a ostatni, końcowy, w II półroczu 2029 r. (projekt kończy się w kwietniu 2029 r.). PRz złoży siedem wniosków: sześć o zaliczkę i końcowy o refundację. Zaliczki wynoszą 56 868,12 zł (II półrocze 2026 r.), 308 392,89 zł (I półrocze 2027 r.; wydatki ogółem 342 363,89 zł z VAT od aparatury 33 971 zł), 152 773,06 zł (II półrocze 2027 r.), 136 613,86 zł (I półrocze 2028 r.), 198 564,77 zł (II półrocze 2028 r.) i 76 322,64 zł (I półrocze 2029 r.). Refundacja końcowa wynosi 104 430,56 zł. Limity z Instrukcji są spełnione: pierwsza płatność to zaliczka 56 868,12 zł, czyli 5,50% dofinansowania (wymagane co najmniej 5%), największa pojedyncza zaliczka (I półrocze 2027 r., 308 392,89 zł) to 29,83% dofinansowania (limit 40%), a suma zaliczek 929 535,34 zł to 89,90% dofinansowania (limit 90%). Refundacja końcowa stanowi 10,10% dofinansowania. W okresach między wypłatami wydatki kwalifikowalne PRz są finansowane zaliczkami i środkami własnymi PRz.</w:t>
      </w:r>
    </w:p>
    <w:p>
      <w:pPr>
        <w:spacing w:after="60"/>
      </w:pPr>
      <w:r>
        <w:rPr>
          <w:b w:val="0"/>
        </w:rPr>
        <w:t>Transakcja między członkami konsorcjum. Instrukcja wymaga opisania transakcji, której nie ujmuje się w modelu. Zgodnie z § 11 umowy konsorcjum PRz przeniesie na Lidera, spółkę Everest11, prawa majątkowe do wyników prac B+R. Lider ma prawo pierwszeństwa nabycia tych praw, złoży oświadczenie w ciągu 120 dni od uzyskania wyników i zakończenia projektu (do 28.08.2029 r.), a cenę ustali niezależny ekspert, z możliwością powołania drugiego eksperta w razie sporu. Przeniesienie praw jest zaplanowane do 30.11.2029 r. Wpływ ze sprzedaży praw po stronie PRz nie został ujęty w modelu zgodnie z Instrukcją, a jego wysokość nie jest jeszcze znana. Nabycie sfinansuje Lider, co opisano w komentarzu do arkusza Finansowanie w modelu Lidera. Po stronie PRz transakcja nie ma wpływu na finansowanie projektu ani na jego rozliczenie.</w:t>
      </w:r>
    </w:p>
    <w:p>
      <w:pPr>
        <w:pStyle w:val="Heading2"/>
      </w:pPr>
      <w:r>
        <w:t>4.9 Arkusz Opłacalność (komórka B106)</w:t>
      </w:r>
    </w:p>
    <w:p>
      <w:pPr>
        <w:keepNext/>
        <w:spacing w:before="160" w:after="40"/>
      </w:pPr>
      <w:r>
        <w:rPr>
          <w:b/>
          <w:sz w:val="20"/>
        </w:rPr>
        <w:t>Komentarz do wklejenia, arkusz Opłacalność</w:t>
      </w:r>
      <w:r>
        <w:rPr>
          <w:color w:val="666666"/>
          <w:sz w:val="17"/>
        </w:rPr>
        <w:t xml:space="preserve"> [2245 znaków]</w:t>
      </w:r>
    </w:p>
    <w:p>
      <w:pPr>
        <w:spacing w:after="60"/>
      </w:pPr>
      <w:r>
        <w:rPr>
          <w:b w:val="0"/>
        </w:rPr>
        <w:t>Wskaźniki NPV i IRR dla PRz jako organizacji badawczej w konsorcjum nie służą ocenie opłacalności w tradycyjnym znaczeniu. PRz realizuje w projekcie wyłącznie prace badawczo-rozwojowe (zadania Z1 i Z3 jako badania przemysłowe oraz Z4, Z5 i Z8 jako prace rozwojowe) i nie prowadzi działalności komercyjnej związanej z wdrożeniem wyników. Funkcję tę pełni Lider konsorcjum, a opłacalność projektu (NPV większe od zera i IRR większy od stopy dyskonta 4%, warunki z Instrukcji) jest oceniana na poziomie Lidera i konsorcjum, w arkuszu Opłacalność - Konsorcjum modelu Lidera, który zawiera dane PRz z tego arkusza.</w:t>
      </w:r>
    </w:p>
    <w:p>
      <w:pPr>
        <w:spacing w:after="60"/>
      </w:pPr>
      <w:r>
        <w:rPr>
          <w:b w:val="0"/>
        </w:rPr>
        <w:t>Dane PRz. Koszty operacyjne projektu (bez amortyzacji) wynoszą 30 tys. zł w 2026 r., 531 tys. zł w 2027 r., 163 tys. zł w 2028 r. i 18 tys. zł w 2029 r. Nakłady inwestycyjne, czyli aktywowane koszty prac rozwojowych, wynoszą 223 tys. zł w 2028 r. i 70 tys. zł w 2029 r. (razem 293 tys. zł). Wydatek na aparaturę (147,7 tys. zł) jest ujęty w kosztach operacyjnych 2027 r. jako odpis jednorazowy (zob. komentarz do arkusza Środki trwałe), więc pełny wydatek gotówkowy jest uwzględniony w przepływach. Dotacja wynosi 30, 531, 386 i 88 tys. zł, razem 1 035 tys. zł (1 033 965,90 zł w wartości dokładnej; różnica 1 tys. zł to zaokrąglenia z pkt 11 Instrukcji). PRz nie ma przychodów z projektu (zob. komentarz do arkusza Przychody).</w:t>
      </w:r>
    </w:p>
    <w:p>
      <w:pPr>
        <w:spacing w:after="60"/>
      </w:pPr>
      <w:r>
        <w:rPr>
          <w:b w:val="0"/>
        </w:rPr>
        <w:t>Wyniki. W wariancie z dotacją wolne przepływy pieniężne (FCF) wynoszą zero w każdym roku, ponieważ dotacja pokrywa w 100% koszty i nakłady PRz w tym samym roku, więc NPV z dotacją jest równe zero, a IRR nie jest określony (n/d). W wariancie bez dotacji FCF wynosi minus 30, minus 531, minus 386 i minus 88 tys. zł w latach 2026-2029 (razem minus 1 035 tys. zł), a NPV po zdyskontowaniu stopą 4% i bez wartości rezydualnej, zgodnie z uwagą 2 do arkusza w Instrukcji, wynosi minus 976 tys. zł. IRR jest nieokreślony (n/d), bo przepływy są wyłącznie ujemne. Po 2029 r. FCF PRz jest równy zero, ponieważ zgodnie z pkt 5b Instrukcji organizacje badawcze nie wprowadzają danych po zakończeniu projektu.</w:t>
      </w:r>
    </w:p>
    <w:p>
      <w:pPr>
        <w:spacing w:after="60"/>
      </w:pPr>
      <w:r>
        <w:rPr>
          <w:b w:val="0"/>
        </w:rPr>
        <w:t>Wynik jest zgodny z rolą organizacji badawczej w konsorcjum: wydatki PRz w całości finansuje dotacja, a efekt ekonomiczny projektu jako całości powstaje po stronie Lidera i jest oceniany na poziomie konsorcjum.</w:t>
      </w:r>
    </w:p>
    <w:p>
      <w:pPr>
        <w:pStyle w:val="Heading2"/>
      </w:pPr>
      <w:r>
        <w:t>4.10 Arkusz Ocena kondycji finansowej (komórka B444)</w:t>
      </w:r>
    </w:p>
    <w:p>
      <w:pPr>
        <w:keepNext/>
        <w:spacing w:before="160" w:after="40"/>
      </w:pPr>
      <w:r>
        <w:rPr>
          <w:b/>
          <w:sz w:val="20"/>
        </w:rPr>
        <w:t>Komentarz do wklejenia, arkusz Ocena kondycji finansowej</w:t>
      </w:r>
      <w:r>
        <w:rPr>
          <w:color w:val="666666"/>
          <w:sz w:val="17"/>
        </w:rPr>
        <w:t xml:space="preserve"> [5922 znaków]</w:t>
      </w:r>
    </w:p>
    <w:p>
      <w:pPr>
        <w:spacing w:after="60"/>
      </w:pPr>
      <w:r>
        <w:rPr>
          <w:b w:val="0"/>
        </w:rPr>
        <w:t>Pozycje bilansowe dotychczasowej działalności, których model nie prognozuje samodzielnie, przyjęto na podstawie bilansu PRz za 2025 r. i utrzymano na niezmienionym poziomie w latach 2026-2029, wobec braku przesłanek wskazujących na ich istotną zmianę. Są to: należności długoterminowe (0), inwestycje długoterminowe (40 445 tys. zł, głównie papiery wartościowe 40 421 tys. zł), długoterminowe rozliczenia międzyokresowe czynne (17 tys. zł), krótkoterminowe rozliczenia międzyokresowe czynne (1 129 tys. zł), rezerwy na zobowiązania (58 182 tys. zł, w tym rezerwa na świadczenia emerytalne 45 921 tys. zł i pozostałe rezerwy 12 261 tys. zł), pozostałe zobowiązania długoterminowe (392 tys. zł), pozostałe zobowiązania krótkoterminowe (49 277 tys. zł: podatki i świadczenia 15 582 tys. zł, wynagrodzenia 11 231 tys. zł, inne 2 591 tys. zł i fundusze specjalne 19 873 tys. zł) oraz rozliczenia międzyokresowe bierne z tytułu dotacji (54 945 tys. zł).</w:t>
      </w:r>
    </w:p>
    <w:p>
      <w:pPr>
        <w:spacing w:after="60"/>
      </w:pPr>
      <w:r>
        <w:rPr>
          <w:b w:val="0"/>
        </w:rPr>
        <w:t>Strata na sprzedaży w 2025 r. i wskaźniki rentowności. W 2025 r. strata na sprzedaży wyniosła 3 470 tys. zł, co daje rentowność sprzedaży (ROS) minus 1,0%. Przyczyną jest zmiana stanu produktów (minus 16 520 tys. zł, pozycja stała, w 2024 r. minus 11 912 tys. zł), a nie słaba sprzedaż: bez niej wynik na sprzedaży byłby dodatni (13 049 tys. zł). Pozostałe przychody operacyjne i finansowe sprawiają, że zysk operacyjny (7 530 tys. zł), zysk brutto (15 176 tys. zł) i zysk netto (15 154 tys. zł) są dodatnie, a rentowność netto wynosi 4,4%, a rentowność aktywów (ROA) 2,9%. Pełne wyjaśnienie podano w komentarzu do arkusza Sprawozdania finansowe. W latach 2026-2029 wskaźniki ROS i rentowności netto wynoszą 0,5%, a ROA 0,4%, ponieważ plan rzeczowo-finansowy zakłada wynik bliski zeru, a koszty rosną tak samo jak przychody (4% rocznie). Plan na 2026 r. zakłada ujemny wynik z działalności operacyjnej (minus 4 590,1 tys. zł) i dodatni wynik netto (1 724,9 tys. zł) dzięki przychodom finansowym (6 500 tys. zł, w tym odsetki 6 400 tys. zł). W modelu przychody finansowe są w zbiorczej pozycji przychodów, więc model pokazuje zysk ze sprzedaży 1 909 tys. zł (ROS 0,5%) i pomija koszty finansowe (160 tys. zł) oraz podatek (25 tys. zł), a prognozowane wskaźniki nie są porównywalne wprost z 2025 r. (zob. komentarz do arkusza Przychody). Wskaźniki są niższe od norm z Instrukcji (ROS co najmniej 1,5%, ROA co najmniej 10%), ale dodatnie. Niska rentowność aktywów jest naturalna dla uczelni publicznej, której majątek trwały (350 933 tys. zł) stanowi dwie trzecie aktywów, a celem nie jest maksymalizacja zysku.</w:t>
      </w:r>
    </w:p>
    <w:p>
      <w:pPr>
        <w:spacing w:after="60"/>
      </w:pPr>
      <w:r>
        <w:rPr>
          <w:b w:val="0"/>
        </w:rPr>
        <w:t>Pozostałe wskaźniki. Udział kapitałów własnych wynosi 67,5% w 2025 r. i 67,6-67,8% w latach 2026-2029 (norma co najmniej 50%), wskaźnik zadłużenia 32,5% i 32,2-32,4% (poniżej przedziału 50-70%, co oznacza niskie zadłużenie), a pokrycie majątku trwałego kapitałem stałym 133,4% i 133,9-135,7% (norma co najmniej 100%). Płynność bieżąca wynosi 3,05 w 2025 r. i 3,07-3,14 w latach 2026-2029, a płynność szybka 2,95 i 2,96-3,02, czyli powyżej przedziałów z Instrukcji (1,2-1,5 i 1,0-1,2). Wynika to z dużych środków pieniężnych (157 378 tys. zł), z których część ma określone przeznaczenie (ograniczona możliwość dysponowania 3 071 tys. zł, fundusze specjalne 19 873 tys. zł i rozliczenia międzyokresowe z dotacji 54 945 tys. zł), więc nie jest ryzykiem finansowym. Księgowy stosunek kapitału obcego do własnego wynosi 0,5 (norma nie więcej niż 1,0). Wskaźniki obsługi długu (37 847) i pokrycia odsetek EBITDA (30 200) w 2025 r. są bardzo wysokie, ponieważ koszty odsetek wyniosły tylko 1 tys. zł, a w prognozie są niedostępne (bd.), bo PRz nie ma zadłużenia ani odsetek.</w:t>
      </w:r>
    </w:p>
    <w:p>
      <w:pPr>
        <w:spacing w:after="60"/>
      </w:pPr>
      <w:r>
        <w:rPr>
          <w:b w:val="0"/>
        </w:rPr>
        <w:t>Ograniczenia prognozy. Model nie wyodrębnia amortyzacji (26 546,6 tys. zł w planie 2026 r.) ani nakładów inwestycyjnych (60 152,2 tys. zł w planie 2026 r.), więc pomija różnicę ok. 33,6 mln zł rocznie, o którą nakłady przewyższają amortyzację, i prognozowane środki pieniężne są od tej kwoty wyższe. Po jej uwzględnieniu płynność bieżąca w 2026 r. wynosiłaby ok. 2,5 (środki obrotowe ok. 143 mln zł wobec zobowiązań krótkoterminowych 57,5 mln zł), czyli nadal ponad przedziałem 1,2-1,5, a PRz nie ma kredytów. W prognozowanym rachunku przepływów 2026 r. zmiana stanu należności jest dodatnia (6 931 tys. zł), bo model prognozuje tylko należności z tytułu dostaw i usług (zob. komentarz do arkusza Kapitał pracujący); nie oznacza to spodziewanego wpływu gotówki. Rachunek przepływów za 2025 r. w arkuszu jest wyliczony przez model wobec zerowego bilansu otwarcia, więc pokazuje całość sald bilansowych jako przepływy roku (m.in. dopłaty do kapitału 339 418 tys. zł). Rzeczywiste przepływy 2025 r. wynoszą: operacyjne plus 45 194 tys. zł, inwestycyjne minus 28 418 tys. zł, finansowe plus 15 171 tys. zł, a środki pieniężne wzrosły ze 125 431 do 157 378 tys. zł (zob. komentarz do arkusza Sprawozdania finansowe).</w:t>
      </w:r>
    </w:p>
    <w:p>
      <w:pPr>
        <w:spacing w:after="60"/>
      </w:pPr>
      <w:r>
        <w:rPr>
          <w:b w:val="0"/>
        </w:rPr>
        <w:t>Projekt. W części dotyczącej Projektu przychodów nie ma, a koszty operacyjne (30, 531, 163 i 18 tys. zł) powodują stratę na sprzedaży Projektu w tych samych kwotach. Strata ta jest w całości pokryta pozostałymi przychodami operacyjnymi, czyli dotacją (30, 531, 163 i 18 tys. zł), więc wynik operacyjny i netto Projektu w każdym roku wynosi zero i nie powstaje strata brutto. W 2028 r. koszty prac rozwojowych (223 tys. zł) nie obciążają rachunku zysków i strat, tylko są aktywowane w kwietniu 2029 r. razem z kosztami prac rozwojowych 2029 r. (łącznie 293 tys. zł), a po stronie pasywów odpowiada im rozliczenie międzyokresowe bierne z tytułu dotacji. Wydatek na aparaturę (148 tys. zł w 2027 r.) jest kosztem 2027 r., w całości pokrytym dotacją. Wpływ Projektu na wskaźniki PRz jest niewielki: wskaźniki działalności z Projektem są takie same jak dla działalności dotychczasowej (udział kapitałów własnych, płynność, ROA) albo różnią się o mniej niż 0,2 punktu procentowego (ROS 0,37% w 2027 r. i 0,46% w 2028 r. wobec 0,50%, bo strata na sprzedaży Projektu obniża zysk ze sprzedaży).</w:t>
      </w:r>
    </w:p>
    <w:p>
      <w:pPr>
        <w:pStyle w:val="Heading1"/>
      </w:pPr>
      <w:r>
        <w:t>5. Arkusze bez pola Komentarz</w:t>
      </w:r>
    </w:p>
    <w:p>
      <w:pPr>
        <w:spacing w:after="60"/>
      </w:pPr>
      <w:r>
        <w:rPr>
          <w:b w:val="0"/>
        </w:rPr>
        <w:t>Dane Wnioskodawcy, Zaliczka-refundacja oraz arkusze konsorcjum (Konsorcjum, Dane wejściowe, Opłacalność - Konsorcjum i Zaliczka-refundacja - Konsorcjum) nie mają pola Komentarz w modelu PRz, a Instrukcja nie wymaga w nich opisu. Arkusze konsorcjum wypełnia wyłącznie Lider. Informacje o harmonogramie płatności PRz są w komentarzu do arkusza Finansowanie (część 4.8).</w:t>
      </w:r>
    </w:p>
    <w:p>
      <w:pPr>
        <w:pStyle w:val="Heading1"/>
      </w:pPr>
      <w:r>
        <w:t>6. Zrealizowane decyzje i co zostało otwarte</w:t>
      </w:r>
    </w:p>
    <w:tbl>
      <w:tblPr>
        <w:tblStyle w:val="TableGrid"/>
        <w:tblW w:type="auto" w:w="0"/>
        <w:tblLook w:firstColumn="1" w:firstRow="1" w:lastColumn="0" w:lastRow="0" w:noHBand="0" w:noVBand="1" w:val="04A0"/>
      </w:tblPr>
      <w:tblGrid>
        <w:gridCol w:w="3213"/>
        <w:gridCol w:w="3213"/>
        <w:gridCol w:w="3213"/>
      </w:tblGrid>
      <w:tr>
        <w:tc>
          <w:tcPr>
            <w:tcW w:type="dxa" w:w="454"/>
          </w:tcPr>
          <w:p>
            <w:r/>
            <w:r>
              <w:rPr>
                <w:b/>
                <w:sz w:val="18"/>
              </w:rPr>
              <w:t>Nr</w:t>
            </w:r>
          </w:p>
        </w:tc>
        <w:tc>
          <w:tcPr>
            <w:tcW w:type="dxa" w:w="2948"/>
          </w:tcPr>
          <w:p>
            <w:r/>
            <w:r>
              <w:rPr>
                <w:b/>
                <w:sz w:val="18"/>
              </w:rPr>
              <w:t>Sprawa</w:t>
            </w:r>
          </w:p>
        </w:tc>
        <w:tc>
          <w:tcPr>
            <w:tcW w:type="dxa" w:w="6350"/>
          </w:tcPr>
          <w:p>
            <w:r/>
            <w:r>
              <w:rPr>
                <w:b/>
                <w:sz w:val="18"/>
              </w:rPr>
              <w:t>Rozstrzygnięcie</w:t>
            </w:r>
          </w:p>
        </w:tc>
      </w:tr>
      <w:tr>
        <w:tc>
          <w:tcPr>
            <w:tcW w:type="dxa" w:w="454"/>
          </w:tcPr>
          <w:p>
            <w:r/>
            <w:r>
              <w:rPr>
                <w:b w:val="0"/>
                <w:sz w:val="18"/>
              </w:rPr>
              <w:t>1</w:t>
            </w:r>
          </w:p>
        </w:tc>
        <w:tc>
          <w:tcPr>
            <w:tcW w:type="dxa" w:w="2948"/>
          </w:tcPr>
          <w:p>
            <w:r/>
            <w:r>
              <w:rPr>
                <w:b w:val="0"/>
                <w:sz w:val="18"/>
              </w:rPr>
              <w:t>Dane PRz za 2023 i 2024 r. w arkuszu Sprawozdania finansowe</w:t>
            </w:r>
          </w:p>
        </w:tc>
        <w:tc>
          <w:tcPr>
            <w:tcW w:type="dxa" w:w="6350"/>
          </w:tcPr>
          <w:p>
            <w:r/>
            <w:r>
              <w:rPr>
                <w:b w:val="0"/>
                <w:sz w:val="18"/>
              </w:rPr>
              <w:t>Decyzja właścicielki: nie wprowadzamy (uproszczona sprawozdawczość organizacji badawczej). Komentarze podają dane porównawcze za 2024 r. z tego samego sprawozdania, a wariantów „do wklejenia po uzupełnieniu danych” już nie ma. Pozostaje drobne ryzyko, bo pkt 5b Instrukcji wprost wymienia trzy lata historyczne dla organizacji z odzyskiwanym VAT. Rachunek przepływów 2025 r. w arkuszu liczy się wobec zerowego bilansu otwarcia (dopłaty do kapitału 339 418 tys. zł); wyjaśnia to komentarz Oceny kondycji, który podaje przy tym rzeczywiste przepływy ze sprawozdania.</w:t>
            </w:r>
          </w:p>
        </w:tc>
      </w:tr>
      <w:tr>
        <w:tc>
          <w:tcPr>
            <w:tcW w:type="dxa" w:w="454"/>
          </w:tcPr>
          <w:p>
            <w:r/>
            <w:r>
              <w:rPr>
                <w:b w:val="0"/>
                <w:sz w:val="18"/>
              </w:rPr>
              <w:t>2</w:t>
            </w:r>
          </w:p>
        </w:tc>
        <w:tc>
          <w:tcPr>
            <w:tcW w:type="dxa" w:w="2948"/>
          </w:tcPr>
          <w:p>
            <w:r/>
            <w:r>
              <w:rPr>
                <w:b w:val="0"/>
                <w:sz w:val="18"/>
              </w:rPr>
              <w:t>Koszty pośrednie (206 793,18 zł)</w:t>
            </w:r>
          </w:p>
        </w:tc>
        <w:tc>
          <w:tcPr>
            <w:tcW w:type="dxa" w:w="6350"/>
          </w:tcPr>
          <w:p>
            <w:r/>
            <w:r>
              <w:rPr>
                <w:b w:val="0"/>
                <w:sz w:val="18"/>
              </w:rPr>
              <w:t>Wykonane w modelu: przeniesione z „Usługi obce (Projekt)” do „Pozostałe koszty rodzajowe (Projekt)”. Kwoty, dofinansowanie i wszystkie sumy bez zmian (sprawdzone po przeliczeniu; zmieniły się tylko podziały na kategorie w Opłacalności i Ocenie kondycji).</w:t>
            </w:r>
          </w:p>
        </w:tc>
      </w:tr>
      <w:tr>
        <w:tc>
          <w:tcPr>
            <w:tcW w:type="dxa" w:w="454"/>
          </w:tcPr>
          <w:p>
            <w:r/>
            <w:r>
              <w:rPr>
                <w:b w:val="0"/>
                <w:sz w:val="18"/>
              </w:rPr>
              <w:t>3</w:t>
            </w:r>
          </w:p>
        </w:tc>
        <w:tc>
          <w:tcPr>
            <w:tcW w:type="dxa" w:w="2948"/>
          </w:tcPr>
          <w:p>
            <w:r/>
            <w:r>
              <w:rPr>
                <w:b w:val="0"/>
                <w:sz w:val="18"/>
              </w:rPr>
              <w:t>Stawka amortyzacji prac rozwojowych (Środki trwałe C195, C196)</w:t>
            </w:r>
          </w:p>
        </w:tc>
        <w:tc>
          <w:tcPr>
            <w:tcW w:type="dxa" w:w="6350"/>
          </w:tcPr>
          <w:p>
            <w:r/>
            <w:r>
              <w:rPr>
                <w:b w:val="0"/>
                <w:sz w:val="18"/>
              </w:rPr>
              <w:t>Wykonane: wpisane 0%. Komunikat „uzupełnij dane” zniknął, a w arkuszach wynikowych nie zmieniła się żadna liczba.</w:t>
            </w:r>
          </w:p>
        </w:tc>
      </w:tr>
      <w:tr>
        <w:tc>
          <w:tcPr>
            <w:tcW w:type="dxa" w:w="454"/>
          </w:tcPr>
          <w:p>
            <w:r/>
            <w:r>
              <w:rPr>
                <w:b w:val="0"/>
                <w:sz w:val="18"/>
              </w:rPr>
              <w:t>4</w:t>
            </w:r>
          </w:p>
        </w:tc>
        <w:tc>
          <w:tcPr>
            <w:tcW w:type="dxa" w:w="2948"/>
          </w:tcPr>
          <w:p>
            <w:r/>
            <w:r>
              <w:rPr>
                <w:b w:val="0"/>
                <w:sz w:val="18"/>
              </w:rPr>
              <w:t>Amortyzacja w jednej pozycji z pozostałymi kosztami</w:t>
            </w:r>
          </w:p>
        </w:tc>
        <w:tc>
          <w:tcPr>
            <w:tcW w:type="dxa" w:w="6350"/>
          </w:tcPr>
          <w:p>
            <w:r/>
            <w:r>
              <w:rPr>
                <w:b w:val="0"/>
                <w:sz w:val="18"/>
              </w:rPr>
              <w:t>Niezmienione w liczbach, opisane z danymi PRz. Dane z załączników pozwalają podać amortyzację planu 2026 r. (26 546,6 tys. zł z 376 370,5 tys. zł), ale nie wystarczają do jej wyodrębnienia w modelu: brak podziału na grupy środków trwałych i brak amortyzacji na lata 2027-2029 (zestawienie PRz podaje tylko amortyzację równoważoną dochodem). Wyodrębnienie wymagałoby też wprowadzenia nakładów inwestycyjnych (plan 2026 r.: 60 152,2 tys. zł), bo inaczej model pokazałby przyrost środków pieniężnych o całą amortyzację. Komentarze jawnie opisują ten skutek (różnica ok. 33,6 mln zł rocznie; po jej uwzględnieniu płynność bieżąca ok. 2,5). Jeśli chcesz wyodrębnić amortyzację, potrzebuję od PRz podziału amortyzacji i nakładów na lata 2026-2029 według grup środków trwałych.</w:t>
            </w:r>
          </w:p>
        </w:tc>
      </w:tr>
    </w:tbl>
    <w:p/>
    <w:p>
      <w:pPr>
        <w:spacing w:after="60"/>
      </w:pPr>
      <w:r>
        <w:rPr>
          <w:b w:val="0"/>
        </w:rPr>
        <w:t>Dwie rzeczy, które z załączników wynikły i są w komentarzach: po pierwsze, nasz wcześniejszy opis mechanizmu straty na sprzedaży (spadek stanu produktów) był błędny, bo w bilansie stan produktów wzrósł; po drugie, model pomija z planu 2026 r. koszty finansowe (160 tys. zł) i podatek (25 tys. zł), więc zysk netto w modelu (1 909 tys. zł) jest o 185 tys. zł wyższy od planu (1 724,9 tys. zł); to 0,05% przychodów i komentarz to podaje.</w:t>
      </w:r>
    </w:p>
    <w:p>
      <w:pPr>
        <w:spacing w:after="60"/>
      </w:pPr>
      <w:r>
        <w:rPr>
          <w:b w:val="0"/>
        </w:rPr>
        <w:t>Potwierdzenia, które musi dać PRz (zaznaczone na żółto w tekstach; po jednym w każdym z trzech arkuszy):</w:t>
      </w:r>
    </w:p>
    <w:p>
      <w:pPr>
        <w:pStyle w:val="ListBullet"/>
      </w:pPr>
      <w:r>
        <w:rPr>
          <w:b/>
        </w:rPr>
        <w:t>Najważniejsze, dla uwagi K6-17 (Sprawozdania finansowe):</w:t>
      </w:r>
      <w:r>
        <w:rPr>
          <w:b w:val="0"/>
        </w:rPr>
        <w:t xml:space="preserve"> co konkretnie składa się na zmianę stanu produktów minus 16 520 tys. zł w 2025 r. i minus 11 912 tys. zł w 2024 r. Z dokumentów wynika, że jest to pozycja stała i że nie odpowiada zmianie zapasów w bilansie, ale opis jej treści księgowej może dać tylko kwestor PRz. Bez tego odpowiedź na K6-17 jest poprawna co do liczb, a niepełna co do przyczyny.</w:t>
      </w:r>
    </w:p>
    <w:p>
      <w:pPr>
        <w:pStyle w:val="ListBullet"/>
      </w:pPr>
      <w:r>
        <w:rPr>
          <w:b w:val="0"/>
        </w:rPr>
        <w:t>co złożyło się na inne przychody operacyjne 2024 r. (23 988 tys. zł wobec 1 292 tys. zł w 2025 r.), bo to główna przyczyna spadku wyniku (Sprawozdania finansowe),</w:t>
      </w:r>
    </w:p>
    <w:p>
      <w:pPr>
        <w:pStyle w:val="ListBullet"/>
      </w:pPr>
      <w:r>
        <w:rPr>
          <w:b w:val="0"/>
        </w:rPr>
        <w:t>podstawa prawna zwolnienia z CIT (art. 17 ust. 1 pkt 4 ustawy o CIT, jak w poprzednim komentarzu PRz; Założenia),</w:t>
      </w:r>
    </w:p>
    <w:p>
      <w:pPr>
        <w:pStyle w:val="ListBullet"/>
      </w:pPr>
      <w:r>
        <w:rPr>
          <w:b w:val="0"/>
        </w:rPr>
        <w:t>tryb i termin odzyskania VAT 33 971 zł od aparatury oraz czy stawki godzinowe w budżecie obejmują składki pracodawcy (Finansowanie, Koszty operacyjne).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