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[3876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 dlatego rozwiązanie problemu wymaga badań własnych.</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błąd pozycji ładunku nie przekracza 0,30 m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[923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[794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w zbiorach treningowym, test naturalny i test kontrolowany,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[3170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te same wielkości będą ponownie mierzone po kompresji w zadaniu Z7 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PoC + integracja TMS/eFTI/e-CMR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[3275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Poza zakresem prac B+R i poza kosztami projektu pozostają: standardowe API TMS, integracje z Trans.eu, TimoCom i e-CMR, produkcyjny dashboard TMS, utrzymanie i przygotowanie do wdrożenia operacyjnego. Z istniejącego TMS zadanie korzysta przez interfejs testowy, wyłącznie do pomiaru czasu i kompletności.</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oraz zmierzy czasy i opóźnienia w testach integracyjnych. Backend/Full-Stack Developer, w wymiarze 1,0 etatu przez 9 miesięcy od M19 do M27, zbuduje strumieniowy potok danych z embedded do pipeline'u, kolejkowanie i spójność przy utracie łączności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czasu tych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[3098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standardowe (API TMS, Trans.eu, TimoCom, e-CMR, produkcyjny dashboard,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interfejsu testowego TMS do 2 s).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interfejs testowy do istniejącego TMS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[919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interfejsu testowego TMS: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interfejs testowy do TMS. Integracje z Trans.eu, TimoCom i e-CMR są poza zakresem prac B+R.</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[3297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zmieścienia modeli w platformie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czasu tych osób wynika z podziału ich etatów między zadania Z6, Z7 i Z9 określonego w budżecie.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[3267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Z5 i Z8 są budowane w pełnej precyzji FP32 i nie mieszczą się w ograniczeniach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Zadanie przekaże zintegrowany system do instalacji i testów terenowych w zadaniu Z9, a bez zwalidowanego systemu testy te nie mogą się rozpocząć,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[902 z 1300 znaków]</w:t>
      </w:r>
    </w:p>
    <w:p>
      <w:pPr>
        <w:spacing w:after="60"/>
        <w:shd w:val="clear" w:color="auto" w:fill="EEF3FA"/>
      </w:pPr>
      <w:r>
        <w:rPr>
          <w:b w:val="0"/>
        </w:rPr>
        <w:t xml:space="preserve">Brak kamienia uniemożliwia instalację systemu w Z9 i blokuje testy terenowe.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[3829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egzemplarzy release candidate,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 w celu ponownego potwierdzenia parametrów po korektach. Zmiany architektury i reanotacje, wymagające dłuższego cyklu, wykona PRz w zadaniu Z8.</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 Zestawy po walidacji zostaną zlikwidowane z protokołem, bez użycia komercyjnego.</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a także przeprowadzi badanie akceptacji użytkowników (kierowcy, dyspozytorzy) według scenariuszy specjalisty TSL. IoT Specialist odbierze zestawy po montażu, skalibruje je i zarejestruje parametry niezawodności sprzętu. IT Specialist zbierze logi (dostępność, status GSM, bufor), zmierzy czas PoC i opóźnienia oraz opracuje dane do raportu KPI. Bieżące utrzymanie systemu nie należy do tego zadania. Cybersecurity / AI Act Specialist wykona testy bezpieczeństwa prototypu w terenie i uruchomi zamrożony skrypt ewaluacyjny jako niezależny ewaluator. Specjalista ds. logistyki TSL poprowadzi inspekcje ground truth. Backend/Full-Stack Developer, w wymiarze 1,0 etatu przez 3 miesiące od M28 do M30, obsłuży walidację PoC i zgodności eFTI w terenie na co najmniej 200 cyklach oraz analizę błędów. Nakład czasu pozostałych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[3764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zainstaluje wyłącznie finalne zestawy prototypowe i je zdemontuje,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Budżet: 12 mc fazy PR podzielone na 3 zadania</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rutynowej integracji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 Dla sześciu stanowisk Everest11 budżet dzieli 12 miesięcy fazy prac rozwojowych na trzy równe części (Z6, Z7, Z9). Ekspert w uwagach 36 i 37 pyta o rzeczywisty podział. Opisy zadań podają zakres czynności bez liczby miesięcy i odsyłają do budżetu. Decyzja o rzeczywistym podziale należy do bloku budżetowego (patrz Aneks C, pozycja 6).</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wykaz prac poza zakresem B+R i poza kosztami, trzy niepewności</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61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obecnie koszt jest dzielony na trzy równe części, co ekspert kwestionuje w uwagach 36 i 37. Opisy podają zakres czynności bez liczb. Rzeczywisty podział miesięcy trzeba ustalić i wpisać w budżecie. Propozycja rozkładu przy zachowaniu sumy kosztów może być przygotowana w bloku budżetowym.</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Wymaga decyzji właściciela.</w:t>
            </w:r>
          </w:p>
        </w:tc>
        <w:tc>
          <w:tcPr>
            <w:tcW w:type="dxa" w:w="1247"/>
          </w:tcPr>
          <w:p>
            <w:pPr>
              <w:spacing w:after="20"/>
            </w:pPr>
            <w:r/>
            <w:r>
              <w:rPr>
                <w:b w:val="0"/>
                <w:sz w:val="15"/>
              </w:rPr>
              <w:t>K3-08; D24</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i generator eFTI (IT), strumieniowy potok, kolejkowanie i test zgodności eFTI (Backend). Usunąć utrzymanie i integracje standardowe.</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3876/4000</w:t>
            </w:r>
          </w:p>
        </w:tc>
        <w:tc>
          <w:tcPr>
            <w:tcW w:type="dxa" w:w="1134"/>
          </w:tcPr>
          <w:p>
            <w:pPr>
              <w:spacing w:after="20"/>
            </w:pPr>
            <w:r/>
            <w:r>
              <w:rPr>
                <w:b w:val="0"/>
                <w:sz w:val="17"/>
              </w:rPr>
              <w:t>362/500</w:t>
            </w:r>
          </w:p>
        </w:tc>
        <w:tc>
          <w:tcPr>
            <w:tcW w:type="dxa" w:w="1191"/>
          </w:tcPr>
          <w:p>
            <w:pPr>
              <w:spacing w:after="20"/>
            </w:pPr>
            <w:r/>
            <w:r>
              <w:rPr>
                <w:b w:val="0"/>
                <w:sz w:val="17"/>
              </w:rPr>
              <w:t>923/1300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794/1300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3170/4000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3275/4000</w:t>
            </w:r>
          </w:p>
        </w:tc>
        <w:tc>
          <w:tcPr>
            <w:tcW w:type="dxa" w:w="1247"/>
          </w:tcPr>
          <w:p>
            <w:pPr>
              <w:spacing w:after="20"/>
            </w:pPr>
            <w:r/>
            <w:r>
              <w:rPr>
                <w:b w:val="0"/>
                <w:sz w:val="17"/>
              </w:rPr>
              <w:t>3098/4000</w:t>
            </w:r>
          </w:p>
        </w:tc>
        <w:tc>
          <w:tcPr>
            <w:tcW w:type="dxa" w:w="1134"/>
          </w:tcPr>
          <w:p>
            <w:pPr>
              <w:spacing w:after="20"/>
            </w:pPr>
            <w:r/>
            <w:r>
              <w:rPr>
                <w:b w:val="0"/>
                <w:sz w:val="17"/>
              </w:rPr>
              <w:t>268/500</w:t>
            </w:r>
          </w:p>
        </w:tc>
        <w:tc>
          <w:tcPr>
            <w:tcW w:type="dxa" w:w="1191"/>
          </w:tcPr>
          <w:p>
            <w:pPr>
              <w:spacing w:after="20"/>
            </w:pPr>
            <w:r/>
            <w:r>
              <w:rPr>
                <w:b w:val="0"/>
                <w:sz w:val="17"/>
              </w:rPr>
              <w:t>919/1300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3297/4000</w:t>
            </w:r>
          </w:p>
        </w:tc>
        <w:tc>
          <w:tcPr>
            <w:tcW w:type="dxa" w:w="1247"/>
          </w:tcPr>
          <w:p>
            <w:pPr>
              <w:spacing w:after="20"/>
            </w:pPr>
            <w:r/>
            <w:r>
              <w:rPr>
                <w:b w:val="0"/>
                <w:sz w:val="17"/>
              </w:rPr>
              <w:t>3267/4000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902/1300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3829/4000</w:t>
            </w:r>
          </w:p>
        </w:tc>
        <w:tc>
          <w:tcPr>
            <w:tcW w:type="dxa" w:w="1247"/>
          </w:tcPr>
          <w:p>
            <w:pPr>
              <w:spacing w:after="20"/>
            </w:pPr>
            <w:r/>
            <w:r>
              <w:rPr>
                <w:b w:val="0"/>
                <w:sz w:val="17"/>
              </w:rPr>
              <w:t>3764/4000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