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Sekcje 6.2, 6.3 i 6.4: zasoby, WNiP i podwykonawca montażu</w:t>
      </w:r>
    </w:p>
    <w:p>
      <w:r>
        <w:rPr>
          <w:b w:val="0"/>
        </w:rPr>
        <w:t>Wniosek FENG.01.01-IP.01-A1RR/26, CargoDT. Pakiet WP06, część 2 (uwagi K5-12 do K5-19). Teksty są gotowe do wklejenia. Na żółto zaznaczono tylko dane, które musi wpisać Everest11 lub PRz (wykaz w części 6).</w:t>
      </w:r>
    </w:p>
    <w:p>
      <w:pPr>
        <w:pStyle w:val="Heading1"/>
      </w:pPr>
      <w:r>
        <w:t>1. Co poprawiono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K5-12 flota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Pozycja floty testowej: 5 ciągników siodłowych z naczepami, umowa partnerska z Natanek Logistics od 03.2025, prawo do danych, brak kosztów w projekcie, mechanizm montażu (nieinwazyjny, odwracalny, bez zmiany homologacji, zasilanie 12 i 24 V, potwierdzenie przed testami), zestawy tylko do prac B+R.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K5-13 prawa do danych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Nowa pozycja w 6.3: zakres danych, dysponent (Everest11), dostęp PRz na podstawie umowy konsorcjum, pseudonimizacja, poufność, okres.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K5-14 zasoby techniczne Everest11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Pozycja o wyposażeniu komputerowym, chmurze i środowiskach deweloperskich oraz pozycja o systemie TMS i API w 6.3. Dane do uzupełnienia przez Everest11.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K5-15 biuro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Adres, tytuł prawny (najem na czas nieokreślony), powierzchnia, przeznaczenie. Brakuje liczby stanowisk.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K5-16 infrastruktura PRz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Trzy nowe pozycje: EMC, system fotogrametryczny, zasoby GPU, z przypisaniem do zadań.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K5-17, K5-18 WNiP i dokumenty IP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Pozycje w 6.3: TMS i API, prawo do danych, licencje oprogramowania, know-how. Dokumentów źródłowych nie załączamy (decyzja D10), a ich treść opisujemy w tekście.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K5-19 podwykonawca montażu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Warunki minimalne: liczba osób, doświadczenie i sposób potwierdzenia, znaczenie wymogu „bez naruszenia homologacji” i sposób jego weryfikacji, ADR, wyposażenie warsztatu.</w:t>
            </w:r>
          </w:p>
        </w:tc>
      </w:tr>
    </w:tbl>
    <w:p/>
    <w:p>
      <w:pPr>
        <w:pStyle w:val="Heading1"/>
      </w:pPr>
      <w:r>
        <w:t>2. Pkt 6.2: PRz, nowe pozycje (do istniejących)</w:t>
      </w:r>
    </w:p>
    <w:p>
      <w:pPr>
        <w:spacing w:after="60"/>
      </w:pPr>
      <w:r>
        <w:rPr>
          <w:b w:val="0"/>
        </w:rPr>
        <w:t>Istniejące pozycje PRz (termobarokomora, wstrząsarka, komora klimatyczna Memmert, platformy edge AI, laboratorium) zostają bez zmian. W pozycji „Laboratorium” dopisać na końcu: „oraz stanowisko do badań EMC, system pomiarów fotogrametrycznych i zasoby obliczeniowe GPU”.</w:t>
      </w:r>
    </w:p>
    <w:p>
      <w:pPr>
        <w:pStyle w:val="Heading3"/>
      </w:pPr>
      <w:r>
        <w:t>PRz, pozycja 1</w:t>
      </w:r>
    </w:p>
    <w:p>
      <w:pPr>
        <w:keepNext/>
        <w:spacing w:before="160" w:after="40"/>
      </w:pPr>
      <w:r>
        <w:rPr>
          <w:b/>
          <w:sz w:val="20"/>
        </w:rPr>
        <w:t>Nazwa zasobu (limit 500)</w:t>
      </w:r>
      <w:r>
        <w:rPr>
          <w:color w:val="666666"/>
          <w:sz w:val="17"/>
        </w:rPr>
        <w:t xml:space="preserve"> [274 znaków]</w:t>
      </w:r>
    </w:p>
    <w:p>
      <w:pPr>
        <w:spacing w:after="60"/>
      </w:pPr>
      <w:r>
        <w:rPr>
          <w:b w:val="0"/>
        </w:rPr>
        <w:t xml:space="preserve">Stanowisko do badań kompatybilności elektromagnetycznej (EMC) w laboratorium PRz (1 zestaw) do pomiarów emisji i odporności urządzeń elektronicznych </w:t>
      </w:r>
      <w:r>
        <w:rPr>
          <w:b w:val="0"/>
          <w:highlight w:val="yellow"/>
        </w:rPr>
        <w:t>model i zakresy badań z karty aparatury PRz</w:t>
      </w:r>
      <w:r>
        <w:rPr>
          <w:b w:val="0"/>
        </w:rPr>
        <w:t xml:space="preserve"> pozostaje w dyspozycji PRz i będzie dostępne w okresie realizacji zadań projektu.</w:t>
      </w:r>
    </w:p>
    <w:p>
      <w:pPr>
        <w:keepNext/>
        <w:spacing w:before="160" w:after="40"/>
      </w:pPr>
      <w:r>
        <w:rPr>
          <w:b/>
          <w:sz w:val="20"/>
        </w:rPr>
        <w:t>Przeznaczenie (limit 500)</w:t>
      </w:r>
      <w:r>
        <w:rPr>
          <w:color w:val="666666"/>
          <w:sz w:val="17"/>
        </w:rPr>
        <w:t xml:space="preserve"> [299 znaków]</w:t>
      </w:r>
    </w:p>
    <w:p>
      <w:pPr>
        <w:spacing w:after="60"/>
      </w:pPr>
      <w:r>
        <w:rPr>
          <w:b w:val="0"/>
        </w:rPr>
        <w:t>Stanowisko posłuży do badań EMC platformy embedded i toru sensorycznego w zadaniu Z7 oraz do weryfikacji ekranowania toru pomiarowego z zadania Z2 pod kątem artefaktów od metalowych ścian i zasilania pojazdu. Zasób zostanie udostępniony w ramach konsorcjum, bez kosztów kwalifikowalnych w projekcie.</w:t>
      </w:r>
    </w:p>
    <w:p>
      <w:pPr>
        <w:pStyle w:val="Heading3"/>
      </w:pPr>
      <w:r>
        <w:t>PRz, pozycja 2</w:t>
      </w:r>
    </w:p>
    <w:p>
      <w:pPr>
        <w:keepNext/>
        <w:spacing w:before="160" w:after="40"/>
      </w:pPr>
      <w:r>
        <w:rPr>
          <w:b/>
          <w:sz w:val="20"/>
        </w:rPr>
        <w:t>Nazwa zasobu (limit 500)</w:t>
      </w:r>
      <w:r>
        <w:rPr>
          <w:color w:val="666666"/>
          <w:sz w:val="17"/>
        </w:rPr>
        <w:t xml:space="preserve"> [222 znaków]</w:t>
      </w:r>
    </w:p>
    <w:p>
      <w:pPr>
        <w:spacing w:after="60"/>
      </w:pPr>
      <w:r>
        <w:rPr>
          <w:b w:val="0"/>
        </w:rPr>
        <w:t xml:space="preserve">System do pomiarów fotogrametrycznych PRz (1 zestaw), służący do referencyjnego pomiaru położenia i przemieszczeń ładunku w przestrzeni 3D </w:t>
      </w:r>
      <w:r>
        <w:rPr>
          <w:b w:val="0"/>
          <w:highlight w:val="yellow"/>
        </w:rPr>
        <w:t>typ systemu i niepewność pomiaru z karty aparatury PRz</w:t>
      </w:r>
      <w:r>
        <w:rPr>
          <w:b w:val="0"/>
        </w:rPr>
        <w:t>, pozostaje w dyspozycji PRz.</w:t>
      </w:r>
    </w:p>
    <w:p>
      <w:pPr>
        <w:keepNext/>
        <w:spacing w:before="160" w:after="40"/>
      </w:pPr>
      <w:r>
        <w:rPr>
          <w:b/>
          <w:sz w:val="20"/>
        </w:rPr>
        <w:t>Przeznaczenie (limit 500)</w:t>
      </w:r>
      <w:r>
        <w:rPr>
          <w:color w:val="666666"/>
          <w:sz w:val="17"/>
        </w:rPr>
        <w:t xml:space="preserve"> [268 znaków]</w:t>
      </w:r>
    </w:p>
    <w:p>
      <w:pPr>
        <w:spacing w:after="60"/>
      </w:pPr>
      <w:r>
        <w:rPr>
          <w:b w:val="0"/>
        </w:rPr>
        <w:t>System posłuży jako referencja położenia ładunku do pomiaru błędu pozycji i przemieszczenia względnego na rigu wibracyjnym (Z5, co najmniej 100 sekwencji) oraz do weryfikacji fotogrametrycznej w testach terenowych (Z9, co najmniej 1000 pomiarów) według ścieżki audytu.</w:t>
      </w:r>
    </w:p>
    <w:p>
      <w:pPr>
        <w:pStyle w:val="Heading3"/>
      </w:pPr>
      <w:r>
        <w:t>PRz, pozycja 3</w:t>
      </w:r>
    </w:p>
    <w:p>
      <w:pPr>
        <w:keepNext/>
        <w:spacing w:before="160" w:after="40"/>
      </w:pPr>
      <w:r>
        <w:rPr>
          <w:b/>
          <w:sz w:val="20"/>
        </w:rPr>
        <w:t>Nazwa zasobu (limit 500)</w:t>
      </w:r>
      <w:r>
        <w:rPr>
          <w:color w:val="666666"/>
          <w:sz w:val="17"/>
        </w:rPr>
        <w:t xml:space="preserve"> [237 znaków]</w:t>
      </w:r>
    </w:p>
    <w:p>
      <w:pPr>
        <w:spacing w:after="60"/>
      </w:pPr>
      <w:r>
        <w:rPr>
          <w:b w:val="0"/>
        </w:rPr>
        <w:t xml:space="preserve">Zasoby obliczeniowe PRz do trenowania i walidacji modeli ML i CV, czyli serwery lub stacje robocze z procesorami graficznymi </w:t>
      </w:r>
      <w:r>
        <w:rPr>
          <w:b w:val="0"/>
          <w:highlight w:val="yellow"/>
        </w:rPr>
        <w:t>liczba i typ GPU, pamięć</w:t>
      </w:r>
      <w:r>
        <w:rPr>
          <w:b w:val="0"/>
        </w:rPr>
        <w:t>, pozostają w dyspozycji PRz i będą dostępne w okresie realizacji zadań Z3, Z4, Z5 i Z8.</w:t>
      </w:r>
    </w:p>
    <w:p>
      <w:pPr>
        <w:keepNext/>
        <w:spacing w:before="160" w:after="40"/>
      </w:pPr>
      <w:r>
        <w:rPr>
          <w:b/>
          <w:sz w:val="20"/>
        </w:rPr>
        <w:t>Przeznaczenie (limit 500)</w:t>
      </w:r>
      <w:r>
        <w:rPr>
          <w:color w:val="666666"/>
          <w:sz w:val="17"/>
        </w:rPr>
        <w:t xml:space="preserve"> [250 znaków]</w:t>
      </w:r>
    </w:p>
    <w:p>
      <w:pPr>
        <w:spacing w:after="60"/>
      </w:pPr>
      <w:r>
        <w:rPr>
          <w:b w:val="0"/>
        </w:rPr>
        <w:t>Zasoby posłużą do trenowania, strojenia i walidacji modeli predykcji ryzyka (Z4) i modeli CV (Z8), badań architektur (Z3) oraz przetwarzania sekwencji z fuzji 3D (Z5) i wystarczą dla zbioru co najmniej 15 000 klatek i 500 godzin danych sensorycznych.</w:t>
      </w:r>
    </w:p>
    <w:p>
      <w:pPr>
        <w:pStyle w:val="Heading1"/>
      </w:pPr>
      <w:r>
        <w:t>3. Pkt 6.2: Everest11, pozycje do wpisania w miejsce istniejących</w:t>
      </w:r>
    </w:p>
    <w:p>
      <w:pPr>
        <w:spacing w:after="60"/>
      </w:pPr>
      <w:r>
        <w:rPr>
          <w:b w:val="0"/>
        </w:rPr>
        <w:t>Pozycja „Flota testowa” zastępuje obecną (która mówiła o zasobie „w posiadaniu Lidera”), pozycja „Biuro” zastępuje obecną, a trzecia jest nowa.</w:t>
      </w:r>
    </w:p>
    <w:p>
      <w:pPr>
        <w:pStyle w:val="Heading3"/>
      </w:pPr>
      <w:r>
        <w:t>Biuro i zaplecze</w:t>
      </w:r>
    </w:p>
    <w:p>
      <w:pPr>
        <w:keepNext/>
        <w:spacing w:before="160" w:after="40"/>
      </w:pPr>
      <w:r>
        <w:rPr>
          <w:b/>
          <w:sz w:val="20"/>
        </w:rPr>
        <w:t>Nazwa zasobu (limit 500)</w:t>
      </w:r>
      <w:r>
        <w:rPr>
          <w:color w:val="666666"/>
          <w:sz w:val="17"/>
        </w:rPr>
        <w:t xml:space="preserve"> [288 znaków]</w:t>
      </w:r>
    </w:p>
    <w:p>
      <w:pPr>
        <w:spacing w:after="60"/>
      </w:pPr>
      <w:r>
        <w:rPr>
          <w:b w:val="0"/>
        </w:rPr>
        <w:t xml:space="preserve">Biuro i zaplecze operacyjne Everest11 w Warszawie, ul. Książkowa 51F, 03-134 Warszawa, to w pełni wyposażona powierzchnia biurowa ok. 60 m2, wynajmowana na czas nieokreślony, z </w:t>
      </w:r>
      <w:r>
        <w:rPr>
          <w:b w:val="0"/>
          <w:highlight w:val="yellow"/>
        </w:rPr>
        <w:t>liczba stanowisk pracy</w:t>
      </w:r>
      <w:r>
        <w:rPr>
          <w:b w:val="0"/>
        </w:rPr>
        <w:t xml:space="preserve"> stanowiskami, która wystarczy dla zespołu projektu pracującego stacjonarnie i hybrydowo.</w:t>
      </w:r>
    </w:p>
    <w:p>
      <w:pPr>
        <w:keepNext/>
        <w:spacing w:before="160" w:after="40"/>
      </w:pPr>
      <w:r>
        <w:rPr>
          <w:b/>
          <w:sz w:val="20"/>
        </w:rPr>
        <w:t>Przeznaczenie (limit 500)</w:t>
      </w:r>
      <w:r>
        <w:rPr>
          <w:color w:val="666666"/>
          <w:sz w:val="17"/>
        </w:rPr>
        <w:t xml:space="preserve"> [231 znaków]</w:t>
      </w:r>
    </w:p>
    <w:p>
      <w:pPr>
        <w:spacing w:after="60"/>
      </w:pPr>
      <w:r>
        <w:rPr>
          <w:b w:val="0"/>
        </w:rPr>
        <w:t>Biuro posłuży do prac integracyjnych IT (Z2, Z6, Z7), koordynacji i zarządzania projektem po stronie Lidera, planowania kampanii akwizycji (Z2) i walidacji terenowej (Z9) oraz współpracy z partnerem testowym i podwykonawcą montażu.</w:t>
      </w:r>
    </w:p>
    <w:p>
      <w:pPr>
        <w:pStyle w:val="Heading3"/>
      </w:pPr>
      <w:r>
        <w:t>Flota testowa</w:t>
      </w:r>
    </w:p>
    <w:p>
      <w:pPr>
        <w:keepNext/>
        <w:spacing w:before="160" w:after="40"/>
      </w:pPr>
      <w:r>
        <w:rPr>
          <w:b/>
          <w:sz w:val="20"/>
        </w:rPr>
        <w:t>Nazwa zasobu (limit 500)</w:t>
      </w:r>
      <w:r>
        <w:rPr>
          <w:color w:val="666666"/>
          <w:sz w:val="17"/>
        </w:rPr>
        <w:t xml:space="preserve"> [398 znaków]</w:t>
      </w:r>
    </w:p>
    <w:p>
      <w:pPr>
        <w:spacing w:after="60"/>
      </w:pPr>
      <w:r>
        <w:rPr>
          <w:b w:val="0"/>
        </w:rPr>
        <w:t>Flotę testową stanowi 5 ciągników siodłowych z naczepami, udostępnionych Everest11 na podstawie umowy partnerskiej z Natanek Logistics obowiązującej od marca 2025 r., która obejmuje prawo do danych z pojazdów. Pojazdy pracują w rzeczywistej eksploatacji (trasy krajowe i międzynarodowe, różne nawierzchnie, sezony i klasy ładunku), a udostępnienie nie generuje kosztów kwalifikowalnych w projekcie.</w:t>
      </w:r>
    </w:p>
    <w:p>
      <w:pPr>
        <w:keepNext/>
        <w:spacing w:before="160" w:after="40"/>
      </w:pPr>
      <w:r>
        <w:rPr>
          <w:b/>
          <w:sz w:val="20"/>
        </w:rPr>
        <w:t>Przeznaczenie (limit 500)</w:t>
      </w:r>
      <w:r>
        <w:rPr>
          <w:color w:val="666666"/>
          <w:sz w:val="17"/>
        </w:rPr>
        <w:t xml:space="preserve"> [490 znaków]</w:t>
      </w:r>
    </w:p>
    <w:p>
      <w:pPr>
        <w:spacing w:after="60"/>
      </w:pPr>
      <w:r>
        <w:rPr>
          <w:b w:val="0"/>
        </w:rPr>
        <w:t>W Z2 na co najmniej 3 pojazdach zostanie zamontowany tor pomiarowy i zarejestrowane dane in-transit, a w Z9 na co najmniej 3 pojazdach przebiegnie walidacja terenowa zestawów. Montaż będzie nieinwazyjny i odwracalny, bez ingerencji w układy pojazdu i bez zmiany homologacji, z zasilaniem 12 i 24 V przez zabezpieczony obwód i z demontażem po kampanii. Przed testami właściciel pojazdów i warsztat potwierdzą na piśmie brak naruszenia homologacji, a zestawy będą służyć wyłącznie pracom B+R.</w:t>
      </w:r>
    </w:p>
    <w:p>
      <w:pPr>
        <w:pStyle w:val="Heading3"/>
      </w:pPr>
      <w:r>
        <w:t>Wyposażenie IT</w:t>
      </w:r>
    </w:p>
    <w:p>
      <w:pPr>
        <w:keepNext/>
        <w:spacing w:before="160" w:after="40"/>
      </w:pPr>
      <w:r>
        <w:rPr>
          <w:b/>
          <w:sz w:val="20"/>
        </w:rPr>
        <w:t>Nazwa zasobu (limit 500)</w:t>
      </w:r>
      <w:r>
        <w:rPr>
          <w:color w:val="666666"/>
          <w:sz w:val="17"/>
        </w:rPr>
        <w:t xml:space="preserve"> [308 znaków]</w:t>
      </w:r>
    </w:p>
    <w:p>
      <w:pPr>
        <w:spacing w:after="60"/>
      </w:pPr>
      <w:r>
        <w:rPr>
          <w:b w:val="0"/>
        </w:rPr>
        <w:t xml:space="preserve">Wyposażenie komputerowe i środowisko IT zespołu projektu Everest11 obejmuje </w:t>
      </w:r>
      <w:r>
        <w:rPr>
          <w:b w:val="0"/>
          <w:highlight w:val="yellow"/>
        </w:rPr>
        <w:t>liczba stanowisk komputerowych i kto je zapewnia</w:t>
      </w:r>
      <w:r>
        <w:rPr>
          <w:b w:val="0"/>
        </w:rPr>
        <w:t xml:space="preserve">, środowisko chmurowe AWS lub Azure oraz repozytoria kodu i środowiska deweloperskie </w:t>
      </w:r>
      <w:r>
        <w:rPr>
          <w:b w:val="0"/>
          <w:highlight w:val="yellow"/>
        </w:rPr>
        <w:t>nazwa narzędzi, własne lub wynajęte</w:t>
      </w:r>
      <w:r>
        <w:rPr>
          <w:b w:val="0"/>
        </w:rPr>
        <w:t>, które pozostają w dyspozycji Everest11 poza kosztami projektu.</w:t>
      </w:r>
    </w:p>
    <w:p>
      <w:pPr>
        <w:keepNext/>
        <w:spacing w:before="160" w:after="40"/>
      </w:pPr>
      <w:r>
        <w:rPr>
          <w:b/>
          <w:sz w:val="20"/>
        </w:rPr>
        <w:t>Przeznaczenie (limit 500)</w:t>
      </w:r>
      <w:r>
        <w:rPr>
          <w:color w:val="666666"/>
          <w:sz w:val="17"/>
        </w:rPr>
        <w:t xml:space="preserve"> [304 znaków]</w:t>
      </w:r>
    </w:p>
    <w:p>
      <w:pPr>
        <w:spacing w:after="60"/>
      </w:pPr>
      <w:r>
        <w:rPr>
          <w:b w:val="0"/>
        </w:rPr>
        <w:t>Środowiska posłużą zespołowi jako deweloperskie i testowe dla zadań Z2 (potok akwizycji i repozytorium zbioru), Z6 (pipeline PoL i PoC, API, eFTI), Z7 (testy platformy embedded) i Z9 (monitoring systemu w terenie), a zasoby chmurowe i repozytoria zapewnią wersjonowanie kodu i zbioru oraz ciągłość pracy.</w:t>
      </w:r>
    </w:p>
    <w:p>
      <w:pPr>
        <w:pStyle w:val="Heading1"/>
      </w:pPr>
      <w:r>
        <w:t>4. Pkt 6.3: wartości niematerialne i prawne Everest11</w:t>
      </w:r>
    </w:p>
    <w:p>
      <w:pPr>
        <w:spacing w:after="60"/>
      </w:pPr>
      <w:r>
        <w:rPr>
          <w:b w:val="0"/>
        </w:rPr>
        <w:t>Obecnie pole zawiera „Brak wyników”. Dodać cztery pozycje (typ zasobu wybieramy z listy, odpowiednio: prawa autorskie i licencje, dane, know-how).</w:t>
      </w:r>
    </w:p>
    <w:p>
      <w:pPr>
        <w:pStyle w:val="Heading3"/>
      </w:pPr>
      <w:r>
        <w:t>TMS i API</w:t>
      </w:r>
    </w:p>
    <w:p>
      <w:pPr>
        <w:keepNext/>
        <w:spacing w:before="160" w:after="40"/>
      </w:pPr>
      <w:r>
        <w:rPr>
          <w:b/>
          <w:sz w:val="20"/>
        </w:rPr>
        <w:t>Nazwa zasobu (limit 500)</w:t>
      </w:r>
      <w:r>
        <w:rPr>
          <w:color w:val="666666"/>
          <w:sz w:val="17"/>
        </w:rPr>
        <w:t xml:space="preserve"> [202 znaków]</w:t>
      </w:r>
    </w:p>
    <w:p>
      <w:pPr>
        <w:spacing w:after="60"/>
      </w:pPr>
      <w:r>
        <w:rPr>
          <w:b w:val="0"/>
        </w:rPr>
        <w:t xml:space="preserve">System TMS Everest11 wraz z API integracji z Trans.eu i TimoCom </w:t>
      </w:r>
      <w:r>
        <w:rPr>
          <w:b w:val="0"/>
          <w:highlight w:val="yellow"/>
        </w:rPr>
        <w:t>potwierdzić: prawa autorskie do TMS i API należą do Everest11; wskazać licencje komponentów zewnętrznych</w:t>
      </w:r>
      <w:r>
        <w:rPr>
          <w:b w:val="0"/>
        </w:rPr>
        <w:t xml:space="preserve"> pozostaje w dyspozycji Everest11.</w:t>
      </w:r>
    </w:p>
    <w:p>
      <w:pPr>
        <w:keepNext/>
        <w:spacing w:before="160" w:after="40"/>
      </w:pPr>
      <w:r>
        <w:rPr>
          <w:b/>
          <w:sz w:val="20"/>
        </w:rPr>
        <w:t>Przeznaczenie (limit 500)</w:t>
      </w:r>
      <w:r>
        <w:rPr>
          <w:color w:val="666666"/>
          <w:sz w:val="17"/>
        </w:rPr>
        <w:t xml:space="preserve"> [231 znaków]</w:t>
      </w:r>
    </w:p>
    <w:p>
      <w:pPr>
        <w:spacing w:after="60"/>
      </w:pPr>
      <w:r>
        <w:rPr>
          <w:b w:val="0"/>
        </w:rPr>
        <w:t>System posłuży jako platforma integracji CargoDT w zadaniu Z6: dwukierunkowe API TMS z urządzeniem embedded, generowanie i wymiana dokumentów PoL, PoC i eFTI w środowisku testowym oraz pomiar opóźnienia przesłania zdarzenia do TMS.</w:t>
      </w:r>
    </w:p>
    <w:p>
      <w:pPr>
        <w:pStyle w:val="Heading3"/>
      </w:pPr>
      <w:r>
        <w:t>Prawo do danych z floty</w:t>
      </w:r>
    </w:p>
    <w:p>
      <w:pPr>
        <w:keepNext/>
        <w:spacing w:before="160" w:after="40"/>
      </w:pPr>
      <w:r>
        <w:rPr>
          <w:b/>
          <w:sz w:val="20"/>
        </w:rPr>
        <w:t>Nazwa zasobu (limit 500)</w:t>
      </w:r>
      <w:r>
        <w:rPr>
          <w:color w:val="666666"/>
          <w:sz w:val="17"/>
        </w:rPr>
        <w:t xml:space="preserve"> [479 znaków]</w:t>
      </w:r>
    </w:p>
    <w:p>
      <w:pPr>
        <w:spacing w:after="60"/>
      </w:pPr>
      <w:r>
        <w:rPr>
          <w:b w:val="0"/>
        </w:rPr>
        <w:t>Everest11 będzie miał prawo do danych z pojazdów floty testowej (5 ciągników siodłowych z naczepami) na podstawie umowy partnerskiej z Natanek Logistics od marca 2025 r. Prawo obejmie dane sensoryczne zestawu CargoDT, dane eksploatacyjne, obrazy wnętrza naczepy, klasy ładunku i dokumentację inspekcji. Dysponentem danych projektu będzie Everest11, a PRz otrzyma zbiór do zadań Z1, Z3, Z4, Z5 i Z8 na podstawie umowy konsorcjum, przy czym dane o ładunku zostaną pseudonimizowane.</w:t>
      </w:r>
    </w:p>
    <w:p>
      <w:pPr>
        <w:keepNext/>
        <w:spacing w:before="160" w:after="40"/>
      </w:pPr>
      <w:r>
        <w:rPr>
          <w:b/>
          <w:sz w:val="20"/>
        </w:rPr>
        <w:t>Przeznaczenie (limit 500)</w:t>
      </w:r>
      <w:r>
        <w:rPr>
          <w:color w:val="666666"/>
          <w:sz w:val="17"/>
        </w:rPr>
        <w:t xml:space="preserve"> [370 znaków]</w:t>
      </w:r>
    </w:p>
    <w:p>
      <w:pPr>
        <w:spacing w:after="60"/>
      </w:pPr>
      <w:r>
        <w:rPr>
          <w:b w:val="0"/>
        </w:rPr>
        <w:t>Zbiór posłuży jako dane treningowe i testowe dla modeli ML i CV (Z4, Z8), do walidacji metryk (Z5, Z9) i jako ground truth. Prawo obejmie cały okres akwizycji w Z2 i walidacji terenowej w Z9, a dostęp do zbioru będą mieć wyłącznie osoby projektu na podstawie umowy o poufności, natomiast Natanek Logistics nie będzie mieć dostępu do zbioru, modeli ani wyników walidacji.</w:t>
      </w:r>
    </w:p>
    <w:p>
      <w:pPr>
        <w:pStyle w:val="Heading3"/>
      </w:pPr>
      <w:r>
        <w:t>Licencje oprogramowania</w:t>
      </w:r>
    </w:p>
    <w:p>
      <w:pPr>
        <w:keepNext/>
        <w:spacing w:before="160" w:after="40"/>
      </w:pPr>
      <w:r>
        <w:rPr>
          <w:b/>
          <w:sz w:val="20"/>
        </w:rPr>
        <w:t>Nazwa zasobu (limit 500)</w:t>
      </w:r>
      <w:r>
        <w:rPr>
          <w:color w:val="666666"/>
          <w:sz w:val="17"/>
        </w:rPr>
        <w:t xml:space="preserve"> [235 znaków]</w:t>
      </w:r>
    </w:p>
    <w:p>
      <w:pPr>
        <w:spacing w:after="60"/>
      </w:pPr>
      <w:r>
        <w:rPr>
          <w:b w:val="0"/>
        </w:rPr>
        <w:t xml:space="preserve">Licencje oprogramowania narzędziowego Everest11 obejmują </w:t>
      </w:r>
      <w:r>
        <w:rPr>
          <w:b w:val="0"/>
          <w:highlight w:val="yellow"/>
        </w:rPr>
        <w:t>wykaz licencji komercyjnych, np. środowiska deweloperskie, narzędzia anotacji, oprogramowanie sterujące kamer; biblioteki ML i CV na licencjach otwartych Apache-2.0, BSD lub MIT</w:t>
      </w:r>
      <w:r>
        <w:rPr>
          <w:b w:val="0"/>
        </w:rPr>
        <w:t>.</w:t>
      </w:r>
    </w:p>
    <w:p>
      <w:pPr>
        <w:keepNext/>
        <w:spacing w:before="160" w:after="40"/>
      </w:pPr>
      <w:r>
        <w:rPr>
          <w:b/>
          <w:sz w:val="20"/>
        </w:rPr>
        <w:t>Przeznaczenie (limit 500)</w:t>
      </w:r>
      <w:r>
        <w:rPr>
          <w:color w:val="666666"/>
          <w:sz w:val="17"/>
        </w:rPr>
        <w:t xml:space="preserve"> [246 znaków]</w:t>
      </w:r>
    </w:p>
    <w:p>
      <w:pPr>
        <w:spacing w:after="60"/>
      </w:pPr>
      <w:r>
        <w:rPr>
          <w:b w:val="0"/>
        </w:rPr>
        <w:t>Narzędzia posłużą zespołowi w zadaniach Z2, Z6, Z7 i Z9 do anotacji zbioru, kalibracji kamer, implementacji pipeline’u i kompresji modeli, a wybór bibliotek uwzględni licencje pozwalające na użycie komercyjne w zamkniętym oprogramowaniu embedded.</w:t>
      </w:r>
    </w:p>
    <w:p>
      <w:pPr>
        <w:pStyle w:val="Heading3"/>
      </w:pPr>
      <w:r>
        <w:t>Know-how</w:t>
      </w:r>
    </w:p>
    <w:p>
      <w:pPr>
        <w:keepNext/>
        <w:spacing w:before="160" w:after="40"/>
      </w:pPr>
      <w:r>
        <w:rPr>
          <w:b/>
          <w:sz w:val="20"/>
        </w:rPr>
        <w:t>Nazwa zasobu (limit 500)</w:t>
      </w:r>
      <w:r>
        <w:rPr>
          <w:color w:val="666666"/>
          <w:sz w:val="17"/>
        </w:rPr>
        <w:t xml:space="preserve"> [159 znaków]</w:t>
      </w:r>
    </w:p>
    <w:p>
      <w:pPr>
        <w:spacing w:after="60"/>
      </w:pPr>
      <w:r>
        <w:rPr>
          <w:b w:val="0"/>
        </w:rPr>
        <w:t>Everest11 dysponuje know-how w zakresie procesów transportowych, dokumentacji przewozowej (CMR, e-CMR) i systemów TMS, zgromadzonym w działalności spedycyjnej.</w:t>
      </w:r>
    </w:p>
    <w:p>
      <w:pPr>
        <w:keepNext/>
        <w:spacing w:before="160" w:after="40"/>
      </w:pPr>
      <w:r>
        <w:rPr>
          <w:b/>
          <w:sz w:val="20"/>
        </w:rPr>
        <w:t>Przeznaczenie (limit 500)</w:t>
      </w:r>
      <w:r>
        <w:rPr>
          <w:color w:val="666666"/>
          <w:sz w:val="17"/>
        </w:rPr>
        <w:t xml:space="preserve"> [214 znaków]</w:t>
      </w:r>
    </w:p>
    <w:p>
      <w:pPr>
        <w:spacing w:after="60"/>
      </w:pPr>
      <w:r>
        <w:rPr>
          <w:b w:val="0"/>
        </w:rPr>
        <w:t>Know-how posłuży do definiowania scenariuszy przewozowych i protokołu inspekcji ground truth, oceny trafności alertów z perspektywy operacyjnej oraz badania akceptacji z kierowcami i dyspozytorami (Z2, Z6, Z7, Z9).</w:t>
      </w:r>
    </w:p>
    <w:p>
      <w:pPr>
        <w:pStyle w:val="Heading1"/>
      </w:pPr>
      <w:r>
        <w:t>5. Pkt 6.4: podwykonawca montażu (Everest11), pola do zastąpienia</w:t>
      </w:r>
    </w:p>
    <w:p>
      <w:pPr>
        <w:pStyle w:val="Heading3"/>
      </w:pPr>
      <w:r>
        <w:t>Zasoby podwykonawcy: kadrowe (limit 4 000)</w:t>
      </w:r>
    </w:p>
    <w:p>
      <w:pPr>
        <w:keepNext/>
        <w:spacing w:before="160" w:after="40"/>
      </w:pPr>
      <w:r>
        <w:rPr>
          <w:b/>
          <w:sz w:val="20"/>
        </w:rPr>
        <w:t>Kadrowe</w:t>
      </w:r>
      <w:r>
        <w:rPr>
          <w:color w:val="666666"/>
          <w:sz w:val="17"/>
        </w:rPr>
        <w:t xml:space="preserve"> [1936 znaków]</w:t>
      </w:r>
    </w:p>
    <w:p>
      <w:pPr>
        <w:spacing w:after="60"/>
      </w:pPr>
      <w:r>
        <w:rPr>
          <w:b w:val="0"/>
        </w:rPr>
        <w:t>Przy wyborze najkorzystniejszej oferty Everest11 będzie wymagać od kadry potencjalnego podwykonawcy spełnienia następujących warunków minimalnych.</w:t>
      </w:r>
    </w:p>
    <w:p>
      <w:pPr>
        <w:spacing w:after="60"/>
      </w:pPr>
      <w:r>
        <w:rPr>
          <w:b w:val="0"/>
        </w:rPr>
        <w:t>1) Podwykonawca zapewni co najmniej 2 monterów lub mechaników, zatrudnionych lub współpracujących, dostępnych w terminach harmonogramu Z2 i Z9, z udokumentowanym doświadczeniem w montażu wyposażenia elektronicznego i elektrycznego (telematyka, kamery, czujniki, okablowanie 12 i 24 V) w pojazdach ciężarowych, ciągnikach siodłowych i naczepach.</w:t>
      </w:r>
    </w:p>
    <w:p>
      <w:pPr>
        <w:spacing w:after="60"/>
      </w:pPr>
      <w:r>
        <w:rPr>
          <w:b w:val="0"/>
        </w:rPr>
        <w:t>2) Podwykonawca wykaże co najmniej 3 zrealizowane montaże takiego wyposażenia w pojazdach ciężarowych w ostatnich 3 latach, potwierdzone referencjami lub protokołami montażu.</w:t>
      </w:r>
    </w:p>
    <w:p>
      <w:pPr>
        <w:spacing w:after="60"/>
      </w:pPr>
      <w:r>
        <w:rPr>
          <w:b w:val="0"/>
        </w:rPr>
        <w:t>3) Podwykonawca będzie prowadzić warsztat lub stację obsługi pojazdów ciężarowych i wykona montaż wyposażenia dodatkowego bez zmian w konstrukcji nośnej, układach hamulcowym, zawieszenia, oświetlenia i elektrycznych obwodach bezpieczeństwa, a po montażu wystawi protokół potwierdzający, że instalacja nie ingeruje w układy pojazdu i nie wymaga nowej homologacji ani badania technicznego. Wymóg zostanie zweryfikowany oświadczeniem podwykonawcy, wykazem realizacji z referencjami i protokołem próbnego montażu na jednym pojeździe przed kampanią.</w:t>
      </w:r>
    </w:p>
    <w:p>
      <w:pPr>
        <w:spacing w:after="60"/>
      </w:pPr>
      <w:r>
        <w:rPr>
          <w:b w:val="0"/>
        </w:rPr>
        <w:t>4) Jeśli pojazd jest dopuszczony do przewozu ADR, podwykonawca wykaże znajomość wymagań ADR dla instalacji elektrycznych w pojazdach, potwierdzoną oświadczeniem i wykazem realizacji na takich pojazdach.</w:t>
      </w:r>
    </w:p>
    <w:p>
      <w:pPr>
        <w:spacing w:after="60"/>
      </w:pPr>
      <w:r>
        <w:rPr>
          <w:b w:val="0"/>
        </w:rPr>
        <w:t>5) Podwykonawca będzie mieć doświadczenie w prowadzeniu okablowania odpornego na drgania i integracji zasilania pokładowego 12 i 24 V z zabezpieczeniem obwodu.</w:t>
      </w:r>
    </w:p>
    <w:p>
      <w:pPr>
        <w:spacing w:after="60"/>
      </w:pPr>
      <w:r>
        <w:rPr>
          <w:b w:val="0"/>
        </w:rPr>
        <w:t>6) Podwykonawca będzie w stanie zamontować jeden pojazd w ciągu jednego dnia roboczego i wykonać prace na co najmniej 3 pojazdach w terminach z harmonogramu.</w:t>
      </w:r>
    </w:p>
    <w:p>
      <w:pPr>
        <w:spacing w:after="60"/>
      </w:pPr>
      <w:r>
        <w:rPr>
          <w:b w:val="0"/>
        </w:rPr>
        <w:t>Kadra B+R Lidera (IoT Specialist) będzie odpowiadać za projekt techniczny, konfigurację, kalibrację i odbiór, a po stronie podwykonawcy wymagana jest wyłącznie kadra montażowa o powyższych kompetencjach.</w:t>
      </w:r>
    </w:p>
    <w:p>
      <w:pPr>
        <w:pStyle w:val="Heading3"/>
      </w:pPr>
      <w:r>
        <w:t>Aparatura (limit 500)</w:t>
      </w:r>
    </w:p>
    <w:p>
      <w:pPr>
        <w:keepNext/>
        <w:spacing w:before="160" w:after="40"/>
      </w:pPr>
      <w:r>
        <w:rPr>
          <w:b/>
          <w:sz w:val="20"/>
        </w:rPr>
        <w:t>Aparatura</w:t>
      </w:r>
      <w:r>
        <w:rPr>
          <w:color w:val="666666"/>
          <w:sz w:val="17"/>
        </w:rPr>
        <w:t xml:space="preserve"> [370 znaków]</w:t>
      </w:r>
    </w:p>
    <w:p>
      <w:pPr>
        <w:spacing w:after="60"/>
      </w:pPr>
      <w:r>
        <w:rPr>
          <w:b w:val="0"/>
        </w:rPr>
        <w:t>Podwykonawca będzie dysponować wyposażeniem warsztatowym do zabudowy na pojazdach ciężarowych: podnośnikiem lub kanałem przeglądowym dla ciągników siodłowych i naczep, stanowiskiem do prac na wysokości, narzędziami montażowymi i elektromonterskimi, zaciskarkami, miernikami napięcia, prądu i rezystancji oraz materiałami montażowymi i zabezpieczeniami obwodów 12 i 24 V.</w:t>
      </w:r>
    </w:p>
    <w:p>
      <w:pPr>
        <w:pStyle w:val="Heading3"/>
      </w:pPr>
      <w:r>
        <w:t>Infrastruktura (limit 500)</w:t>
      </w:r>
    </w:p>
    <w:p>
      <w:pPr>
        <w:keepNext/>
        <w:spacing w:before="160" w:after="40"/>
      </w:pPr>
      <w:r>
        <w:rPr>
          <w:b/>
          <w:sz w:val="20"/>
        </w:rPr>
        <w:t>Infrastruktura</w:t>
      </w:r>
      <w:r>
        <w:rPr>
          <w:color w:val="666666"/>
          <w:sz w:val="17"/>
        </w:rPr>
        <w:t xml:space="preserve"> [364 znaków]</w:t>
      </w:r>
    </w:p>
    <w:p>
      <w:pPr>
        <w:spacing w:after="60"/>
      </w:pPr>
      <w:r>
        <w:rPr>
          <w:b w:val="0"/>
        </w:rPr>
        <w:t>Podwykonawca będzie dysponować warsztatem lub stacją obsługi pojazdów ciężarowych z halą o wysokości i długości umożliwiającej pracę przy ciągniku siodłowym z naczepą, ze stanowiskiem montażowym dla co najmniej jednego pojazdu jednocześnie i z dostępem do zasilania warsztatowego, w lokalizacji w Polsce, w odległości umożliwiającej dojazd pojazdów floty testowej.</w:t>
      </w:r>
    </w:p>
    <w:p>
      <w:pPr>
        <w:spacing w:after="60"/>
      </w:pPr>
      <w:r>
        <w:rPr>
          <w:b w:val="0"/>
        </w:rPr>
        <w:t>Pozostałe pola 6.4 (zakres prac, rola, przeznaczenie) zostają. Warunek „bez naruszenia homologacji” oznacza montaż wyposażenia dodatkowego bez zmian w konstrukcji nośnej, układach hamulcowym i zawieszenia, oświetleniu i elektrycznych obwodach bezpieczeństwa, bez nowej homologacji i bez nowego badania technicznego pojazdu. Weryfikacja: oświadczenie, wykaz realizacji z referencjami i protokół próbnego montażu.</w:t>
      </w:r>
    </w:p>
    <w:p>
      <w:pPr>
        <w:pStyle w:val="Heading1"/>
      </w:pPr>
      <w:r>
        <w:t>6. Do uzupełnienia (żółte pola)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Kto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Co wpisać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6.2 PRz, EMC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PRz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Model i zakresy badań z karty aparatury.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6.2 PRz, fotogrametria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PRz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Typ systemu i niepewność pomiaru.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6.2 PRz, GPU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PRz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Liczba i typ GPU, pamięć.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6.2 Everest11, biuro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Everest11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Liczba stanowisk pracy.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6.2 Everest11, IT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Everest11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Liczba stanowisk komputerowych i kto je zapewnia; narzędzia i repozytoria (własne czy wynajęte).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6.3, TMS i API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Everest11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Potwierdzenie, że prawa autorskie należą do Everest11, oraz licencje komponentów zewnętrznych.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6.3, licencje oprogramowania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Everest11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Wykaz licencji komercyjnych i narzędzi.</w:t>
            </w:r>
          </w:p>
        </w:tc>
      </w:tr>
    </w:tbl>
    <w:p/>
    <w:p>
      <w:pPr>
        <w:pStyle w:val="Heading1"/>
      </w:pPr>
      <w:r>
        <w:t>7. Powiązane zmiany i ryzyka</w:t>
      </w:r>
    </w:p>
    <w:p>
      <w:pPr>
        <w:pStyle w:val="ListBullet"/>
      </w:pPr>
      <w:r>
        <w:rPr>
          <w:b/>
        </w:rPr>
        <w:t>Pkt 6.2, pozycja floty w obecnym wniosku:</w:t>
      </w:r>
      <w:r>
        <w:rPr>
          <w:b w:val="0"/>
        </w:rPr>
        <w:t xml:space="preserve"> zdanie „Zasób w posiadaniu Lidera” usunąć. Pojazdy udostępnia Natanek Logistics.</w:t>
      </w:r>
    </w:p>
    <w:p>
      <w:pPr>
        <w:pStyle w:val="ListBullet"/>
      </w:pPr>
      <w:r>
        <w:rPr>
          <w:b/>
        </w:rPr>
        <w:t>Decyzja D10 (flota własna Everest11 w najmie):</w:t>
      </w:r>
      <w:r>
        <w:rPr>
          <w:b w:val="0"/>
        </w:rPr>
        <w:t xml:space="preserve"> zastąpiona ustaleniem z 02.10.2026: 5 ciągników z naczepami, umowa partnerska z Natanek od 03.2025 z prawem do danych. Teksty pkt 2.3, 2.5 i 1.3 nie mówią o pojazdach własnych.</w:t>
      </w:r>
    </w:p>
    <w:p>
      <w:pPr>
        <w:pStyle w:val="ListBullet"/>
      </w:pPr>
      <w:r>
        <w:rPr>
          <w:b/>
        </w:rPr>
        <w:t>Infrastruktura PRz w zadaniu Z7 (Everest11):</w:t>
      </w:r>
      <w:r>
        <w:rPr>
          <w:b w:val="0"/>
        </w:rPr>
        <w:t xml:space="preserve"> wniosek mówi o testach Z7 na infrastrukturze PRz „udostępnionej w ramach konsorcjum”. Instrukcja zabrania świadczenia usług między członkami konsorcjum. Ryzyko jest ograniczone, bo udostępnienie nie ma kosztów w projekcie, a PRz wykonuje własne zadania. Warto mieć pisemne ustalenie PRz o udostępnieniu infrastruktury bez odpłatności.</w:t>
      </w:r>
    </w:p>
    <w:p>
      <w:pPr>
        <w:pStyle w:val="ListBullet"/>
      </w:pPr>
      <w:r>
        <w:rPr>
          <w:b/>
        </w:rPr>
        <w:t>Okres umowy z Natanek:</w:t>
      </w:r>
      <w:r>
        <w:rPr>
          <w:b w:val="0"/>
        </w:rPr>
        <w:t xml:space="preserve"> tekst zakłada, że umowa partnerska obejmuje cały okres realizacji projektu i prawo do danych w Z2 i Z9.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