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Zmiany do wprowadzenia w plikach zamkniętych i w LSI</w:t>
      </w:r>
    </w:p>
    <w:p>
      <w:r>
        <w:rPr>
          <w:b w:val="0"/>
        </w:rPr>
        <w:t>Wniosek FENG.01.01-IP.01-A1RR/26, CargoDT. Zestawienie dotyczy plików, których nie korygujemy: Sekcja_1.3_i_ceny.docx, Poprawki_do_wklejenia_WP01-WP03.docx i Opisy_zadan_z_kamieniami_milowymi.docx. Powód zmian: odpowiedzi księgowej z 05.10.2026, odpis KRS z 05.10.2026 i Twoje decyzje D47 do D49. Każda pozycja podaje plik, miejsce, dotychczasowy zapis i nowy zapis do wklejenia w odpowiednim polu LSI.</w:t>
      </w:r>
    </w:p>
    <w:p>
      <w:pPr>
        <w:pStyle w:val="Heading1"/>
      </w:pPr>
      <w:r>
        <w:t>1. Powód zmian w skrócie</w:t>
      </w:r>
    </w:p>
    <w:p>
      <w:pPr>
        <w:pStyle w:val="ListBullet"/>
      </w:pPr>
      <w:r>
        <w:rPr>
          <w:b/>
        </w:rPr>
        <w:t>Sprzedaż Everest11:</w:t>
      </w:r>
      <w:r>
        <w:rPr>
          <w:b w:val="0"/>
        </w:rPr>
        <w:t xml:space="preserve"> w 2025 r. 95% Amazon i 5% Nara Motors, w pierwszym półroczu 2026 r. 100% Amazon. Decyzja D59 (06.10): baza „ponad 50 kontrahentów” zostaje, ale bez słowa „aktywnych” i bez „bieżącej współpracy”, bo kontrahenci są, lecz nie są obecnie aktywni.</w:t>
      </w:r>
    </w:p>
    <w:p>
      <w:pPr>
        <w:pStyle w:val="ListBullet"/>
      </w:pPr>
      <w:r>
        <w:rPr>
          <w:b/>
        </w:rPr>
        <w:t>Natanek Logistics:</w:t>
      </w:r>
      <w:r>
        <w:rPr>
          <w:b w:val="0"/>
        </w:rPr>
        <w:t xml:space="preserve"> powiązany z przyszłym Inwestorem, główny dostawca usług transportowych Everest11 (ok. 95% zakupów usług), partner testowy i jeden z trzech operatorów z listami intencyjnymi. Nie jest „niezależnym klientem”.</w:t>
      </w:r>
    </w:p>
    <w:p>
      <w:pPr>
        <w:pStyle w:val="ListBullet"/>
      </w:pPr>
      <w:r>
        <w:rPr>
          <w:b/>
        </w:rPr>
        <w:t>Dwaj pozostali operatorzy z listami intencyjnymi</w:t>
      </w:r>
      <w:r>
        <w:rPr>
          <w:b w:val="0"/>
        </w:rPr>
        <w:t xml:space="preserve"> (Hubert Lizak SZYK, Transport Towarowy Paweł Łazarczyk, razem 30 naczep) nie są powiązani z Inwestorem ani z Everest11.</w:t>
      </w:r>
    </w:p>
    <w:p>
      <w:pPr>
        <w:pStyle w:val="Heading1"/>
      </w:pPr>
      <w:r>
        <w:t>2. Sekcja_1.3_i_ceny.docx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3402"/>
          </w:tcPr>
          <w:p>
            <w:r/>
            <w:r>
              <w:rPr>
                <w:b/>
                <w:sz w:val="18"/>
              </w:rPr>
              <w:t>Dotychczasowy zapis</w:t>
            </w:r>
          </w:p>
        </w:tc>
        <w:tc>
          <w:tcPr>
            <w:tcW w:type="dxa" w:w="3855"/>
          </w:tcPr>
          <w:p>
            <w:r/>
            <w:r>
              <w:rPr>
                <w:b/>
                <w:sz w:val="18"/>
              </w:rPr>
              <w:t>Nowy zapis</w:t>
            </w:r>
          </w:p>
        </w:tc>
      </w:tr>
      <w:tr>
        <w:tc>
          <w:tcPr>
            <w:tcW w:type="dxa" w:w="567"/>
          </w:tcPr>
          <w:p>
            <w:r/>
            <w:r>
              <w:rPr>
                <w:b w:val="0"/>
                <w:sz w:val="18"/>
              </w:rPr>
              <w:t>1.1</w:t>
            </w:r>
          </w:p>
        </w:tc>
        <w:tc>
          <w:tcPr>
            <w:tcW w:type="dxa" w:w="1928"/>
          </w:tcPr>
          <w:p>
            <w:r/>
            <w:r>
              <w:rPr>
                <w:b w:val="0"/>
                <w:sz w:val="18"/>
              </w:rPr>
              <w:t>Część VI „Segmenty i wejście na rynek”, pierwsze zdanie</w:t>
            </w:r>
          </w:p>
        </w:tc>
        <w:tc>
          <w:tcPr>
            <w:tcW w:type="dxa" w:w="3402"/>
          </w:tcPr>
          <w:p>
            <w:r/>
            <w:r>
              <w:rPr>
                <w:b w:val="0"/>
                <w:sz w:val="18"/>
              </w:rPr>
              <w:t>„…a kanałem baza ponad 50 aktywnych kontrahentów spedycyjnych Everest11, z którymi spółka prowadzi bieżącą współpracę.”</w:t>
            </w:r>
          </w:p>
        </w:tc>
        <w:tc>
          <w:tcPr>
            <w:tcW w:type="dxa" w:w="3855"/>
          </w:tcPr>
          <w:p>
            <w:r/>
            <w:r>
              <w:rPr>
                <w:b w:val="0"/>
                <w:sz w:val="18"/>
              </w:rPr>
              <w:t>„…a kanałem sprzedaż bezpośrednia do operatorów transportowych, w tym do bazy ponad 50 kontrahentów Everest11, z którymi spółka współpracowała, także obecnie nieaktywnych: trzej operatorzy podpisali listy intencyjne, a kolejni uczestniczyli w 15 rozmowach handlowych w okresie marzec-maj 2026.”</w:t>
            </w:r>
          </w:p>
        </w:tc>
      </w:tr>
      <w:tr>
        <w:tc>
          <w:tcPr>
            <w:tcW w:type="dxa" w:w="567"/>
          </w:tcPr>
          <w:p>
            <w:r/>
            <w:r>
              <w:rPr>
                <w:b w:val="0"/>
                <w:sz w:val="18"/>
              </w:rPr>
              <w:t>1.2</w:t>
            </w:r>
          </w:p>
        </w:tc>
        <w:tc>
          <w:tcPr>
            <w:tcW w:type="dxa" w:w="1928"/>
          </w:tcPr>
          <w:p>
            <w:r/>
            <w:r>
              <w:rPr>
                <w:b w:val="0"/>
                <w:sz w:val="18"/>
              </w:rPr>
              <w:t>Rynek docelowy (innowacja produktowa), zdanie o barierze</w:t>
            </w:r>
          </w:p>
        </w:tc>
        <w:tc>
          <w:tcPr>
            <w:tcW w:type="dxa" w:w="3402"/>
          </w:tcPr>
          <w:p>
            <w:r/>
            <w:r>
              <w:rPr>
                <w:b w:val="0"/>
                <w:sz w:val="18"/>
              </w:rPr>
              <w:t>„…a odpowie na nią bezpośredni kanał sprzedaży przez bazę ponad 50 klientów Everest11.”</w:t>
            </w:r>
          </w:p>
        </w:tc>
        <w:tc>
          <w:tcPr>
            <w:tcW w:type="dxa" w:w="3855"/>
          </w:tcPr>
          <w:p>
            <w:r/>
            <w:r>
              <w:rPr>
                <w:b w:val="0"/>
                <w:sz w:val="18"/>
              </w:rPr>
              <w:t>„…a odpowie na nią sprzedaż bezpośrednia do operatorów transportowych, także z bazy kontrahentów Everest11.”</w:t>
            </w:r>
          </w:p>
        </w:tc>
      </w:tr>
      <w:tr>
        <w:tc>
          <w:tcPr>
            <w:tcW w:type="dxa" w:w="567"/>
          </w:tcPr>
          <w:p>
            <w:r/>
            <w:r>
              <w:rPr>
                <w:b w:val="0"/>
                <w:sz w:val="18"/>
              </w:rPr>
              <w:t>1.3</w:t>
            </w:r>
          </w:p>
        </w:tc>
        <w:tc>
          <w:tcPr>
            <w:tcW w:type="dxa" w:w="1928"/>
          </w:tcPr>
          <w:p>
            <w:r/>
            <w:r>
              <w:rPr>
                <w:b w:val="0"/>
                <w:sz w:val="18"/>
              </w:rPr>
              <w:t>Rynek docelowy, zdanie o listach intencyjnych</w:t>
            </w:r>
          </w:p>
        </w:tc>
        <w:tc>
          <w:tcPr>
            <w:tcW w:type="dxa" w:w="3402"/>
          </w:tcPr>
          <w:p>
            <w:r/>
            <w:r>
              <w:rPr>
                <w:b w:val="0"/>
                <w:sz w:val="18"/>
              </w:rPr>
              <w:t>„Trzej operatorzy z bazy klientów, Krajowe i Międzynarodowe Usługi Transportowe Hubert Lizak SZYK, Natanek Logistics i Transport Towarowy Paweł Łazarczyk, podpisali listy intencyjne na łącznie 50 naczep (20, 20 i 10), co stanowi pierwszy próg sprzedaży w 2030 r.”</w:t>
            </w:r>
          </w:p>
        </w:tc>
        <w:tc>
          <w:tcPr>
            <w:tcW w:type="dxa" w:w="3855"/>
          </w:tcPr>
          <w:p>
            <w:r/>
            <w:r>
              <w:rPr>
                <w:b w:val="0"/>
                <w:sz w:val="18"/>
              </w:rPr>
              <w:t>„Trzej operatorzy transportowi, Krajowe i Międzynarodowe Usługi Transportowe Hubert Lizak SZYK, Natanek Logistics i Transport Towarowy Paweł Łazarczyk, podpisali listy intencyjne na łącznie 50 naczep (20, 20 i 10), co stanowi pierwszy próg sprzedaży w 2030 r. Natanek Logistics (20 naczep) jest podmiotem powiązanym z przyszłym Inwestorem, Zbigniewem Natankiem. Pozostali dwaj operatorzy (30 naczep) nie są powiązani z Inwestorem ani z Everest11.”</w:t>
            </w:r>
          </w:p>
        </w:tc>
      </w:tr>
      <w:tr>
        <w:tc>
          <w:tcPr>
            <w:tcW w:type="dxa" w:w="567"/>
          </w:tcPr>
          <w:p>
            <w:r/>
            <w:r>
              <w:rPr>
                <w:b w:val="0"/>
                <w:sz w:val="18"/>
              </w:rPr>
              <w:t>1.4</w:t>
            </w:r>
          </w:p>
        </w:tc>
        <w:tc>
          <w:tcPr>
            <w:tcW w:type="dxa" w:w="1928"/>
          </w:tcPr>
          <w:p>
            <w:r/>
            <w:r>
              <w:rPr>
                <w:b w:val="0"/>
                <w:sz w:val="18"/>
              </w:rPr>
              <w:t>Plan wprowadzenia na rynek, zdanie o sprzedaży bezpośredniej (Michał Hajduk)</w:t>
            </w:r>
          </w:p>
        </w:tc>
        <w:tc>
          <w:tcPr>
            <w:tcW w:type="dxa" w:w="3402"/>
          </w:tcPr>
          <w:p>
            <w:r/>
            <w:r>
              <w:rPr>
                <w:b w:val="0"/>
                <w:sz w:val="18"/>
              </w:rPr>
              <w:t>„…do bazy ponad 50 kontrahentów Everest11, w kontakcie bezpośrednim…”</w:t>
            </w:r>
          </w:p>
        </w:tc>
        <w:tc>
          <w:tcPr>
            <w:tcW w:type="dxa" w:w="3855"/>
          </w:tcPr>
          <w:p>
            <w:r/>
            <w:r>
              <w:rPr>
                <w:b w:val="0"/>
                <w:sz w:val="18"/>
              </w:rPr>
              <w:t>„…do operatorów transportowych, w tym do bazy ponad 50 kontrahentów Everest11, w kontakcie bezpośrednim…”</w:t>
            </w:r>
          </w:p>
        </w:tc>
      </w:tr>
    </w:tbl>
    <w:p/>
    <w:p>
      <w:pPr>
        <w:pStyle w:val="Heading1"/>
      </w:pPr>
      <w:r>
        <w:t>3. Poprawki_do_wklejenia_WP01-WP03.docx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2.1</w:t>
            </w:r>
          </w:p>
        </w:tc>
        <w:tc>
          <w:tcPr>
            <w:tcW w:type="dxa" w:w="1928"/>
          </w:tcPr>
          <w:p>
            <w:r/>
            <w:r>
              <w:rPr>
                <w:b w:val="0"/>
                <w:sz w:val="18"/>
              </w:rPr>
              <w:t>Ryzyko R12, pole „Opis ryzyka” (limit 2000, nowy tekst ma 1171 znaków)</w:t>
            </w:r>
          </w:p>
        </w:tc>
        <w:tc>
          <w:tcPr>
            <w:tcW w:type="dxa" w:w="2948"/>
          </w:tcPr>
          <w:p>
            <w:r/>
            <w:r>
              <w:rPr>
                <w:b w:val="0"/>
                <w:sz w:val="18"/>
              </w:rPr>
              <w:t>Cały dotychczasowy tekst, w tym zdanie „Natanek Logistics jest jednym z trzech niezależnych potwierdzonych klientów (listy intencyjne), co ogranicza skalę zależności.” i „Prawdopodobieństwo: niskie.”</w:t>
            </w:r>
          </w:p>
        </w:tc>
        <w:tc>
          <w:tcPr>
            <w:tcW w:type="dxa" w:w="4309"/>
          </w:tcPr>
          <w:p>
            <w:r/>
            <w:r>
              <w:rPr>
                <w:b w:val="0"/>
                <w:sz w:val="18"/>
              </w:rPr>
              <w:t>Etap: cały okres realizacji i wdrożenie.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2.2</w:t>
            </w:r>
          </w:p>
        </w:tc>
        <w:tc>
          <w:tcPr>
            <w:tcW w:type="dxa" w:w="1928"/>
          </w:tcPr>
          <w:p>
            <w:r/>
            <w:r>
              <w:rPr>
                <w:b w:val="0"/>
                <w:sz w:val="18"/>
              </w:rPr>
              <w:t>Ryzyko R12, pole „Zapobieganie ryzyku” (nowy tekst ma 1244 znaków)</w:t>
            </w:r>
          </w:p>
        </w:tc>
        <w:tc>
          <w:tcPr>
            <w:tcW w:type="dxa" w:w="2948"/>
          </w:tcPr>
          <w:p>
            <w:r/>
            <w:r>
              <w:rPr>
                <w:b w:val="0"/>
                <w:sz w:val="18"/>
              </w:rPr>
              <w:t>Cztery punkty mitygacji</w:t>
            </w:r>
          </w:p>
        </w:tc>
        <w:tc>
          <w:tcPr>
            <w:tcW w:type="dxa" w:w="4309"/>
          </w:tcPr>
          <w:p>
            <w:r/>
            <w:r>
              <w:rPr>
                <w:b w:val="0"/>
                <w:sz w:val="18"/>
              </w:rPr>
              <w:t>Mitygacja: 1)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2) wszystkie transakcje z podmiotami powiązanymi z Inwestorem zawierane na warunkach rynkowych, weryfikowanych tą samą metodą, jaką stosujemy do cen rynkowych praw majątkowych między konsorcjantami: rozeznanie rynku (porównanie ofert innych przewoźników), niezależna wycena albo negocjacje w warunkach pełnej konkurencji; 3) umowa partnerska dotycząca floty testowej udokumentowana odniesieniem do porównywalnych ofert rynkowych (koszty wynajmu floty u innych podmiotów) oraz wpisana do rejestru transakcji; 4) formalne wskazanie, czy Everest11 i Natanek Logistics są powiązane w rozumieniu przepisów CIT (próg 25% udziałów; Inwestor obejmie maksymalnie 20%), niezależnie od tego deklaracja warunków rynkowych i dokumentacja transakcji; 5) niezależność walidacji zabezpieczona ścieżką audytu Z9 (D05) i dywersyfikacją floty (R11). Ocena transakcji prowadzona raz na kwartał.</w:t>
            </w:r>
          </w:p>
        </w:tc>
      </w:tr>
      <w:tr>
        <w:tc>
          <w:tcPr>
            <w:tcW w:type="dxa" w:w="567"/>
          </w:tcPr>
          <w:p>
            <w:r/>
            <w:r>
              <w:rPr>
                <w:b w:val="0"/>
                <w:sz w:val="18"/>
              </w:rPr>
              <w:t>2.3</w:t>
            </w:r>
          </w:p>
        </w:tc>
        <w:tc>
          <w:tcPr>
            <w:tcW w:type="dxa" w:w="1928"/>
          </w:tcPr>
          <w:p>
            <w:r/>
            <w:r>
              <w:rPr>
                <w:b w:val="0"/>
                <w:sz w:val="18"/>
              </w:rPr>
              <w:t>Ryzyko R11, plan zastępczy, punkt 1</w:t>
            </w:r>
          </w:p>
        </w:tc>
        <w:tc>
          <w:tcPr>
            <w:tcW w:type="dxa" w:w="2948"/>
          </w:tcPr>
          <w:p>
            <w:r/>
            <w:r>
              <w:rPr>
                <w:b w:val="0"/>
                <w:sz w:val="18"/>
              </w:rPr>
              <w:t>„…umowa partnerska z drugim przewoźnikiem spośród ponad 50 aktywnych kontrahentów Everest11 (współpraca od 2021 r.)…”</w:t>
            </w:r>
          </w:p>
        </w:tc>
        <w:tc>
          <w:tcPr>
            <w:tcW w:type="dxa" w:w="4309"/>
          </w:tcPr>
          <w:p>
            <w:r/>
            <w:r>
              <w:rPr>
                <w:b w:val="0"/>
                <w:sz w:val="18"/>
              </w:rPr>
              <w:t>„…umowa partnerska z drugim przewoźnikiem spośród dotychczasowych dostawców usług transportowych Everest11…”</w:t>
            </w:r>
          </w:p>
        </w:tc>
      </w:tr>
    </w:tbl>
    <w:p/>
    <w:p>
      <w:pPr>
        <w:pStyle w:val="Heading1"/>
      </w:pPr>
      <w:r>
        <w:t>4. Opisy_zadan_z_kamieniami_milowymi.docx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3.1</w:t>
            </w:r>
          </w:p>
        </w:tc>
        <w:tc>
          <w:tcPr>
            <w:tcW w:type="dxa" w:w="1928"/>
          </w:tcPr>
          <w:p>
            <w:r/>
            <w:r>
              <w:rPr>
                <w:b w:val="0"/>
                <w:sz w:val="18"/>
              </w:rPr>
              <w:t>Ryzyko R12, pole „Opis ryzyka” (nowy tekst ma 1183 znaków)</w:t>
            </w:r>
          </w:p>
        </w:tc>
        <w:tc>
          <w:tcPr>
            <w:tcW w:type="dxa" w:w="2948"/>
          </w:tcPr>
          <w:p>
            <w:r/>
            <w:r>
              <w:rPr>
                <w:b w:val="0"/>
                <w:sz w:val="18"/>
              </w:rPr>
              <w:t>Cały dotychczasowy tekst (zdanie o „niezależnych, potwierdzonych klientach” i „Prawdopodobieństwo jest niskie”)</w:t>
            </w:r>
          </w:p>
        </w:tc>
        <w:tc>
          <w:tcPr>
            <w:tcW w:type="dxa" w:w="4309"/>
          </w:tcPr>
          <w:p>
            <w:r/>
            <w:r>
              <w:rPr>
                <w:b w:val="0"/>
                <w:sz w:val="18"/>
              </w:rPr>
              <w:t>Ryzyko dotyczy całego okresu realizacji i wdrożenia.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3.2</w:t>
            </w:r>
          </w:p>
        </w:tc>
        <w:tc>
          <w:tcPr>
            <w:tcW w:type="dxa" w:w="1928"/>
          </w:tcPr>
          <w:p>
            <w:r/>
            <w:r>
              <w:rPr>
                <w:b w:val="0"/>
                <w:sz w:val="18"/>
              </w:rPr>
              <w:t>Ryzyko R12, pole „Sposoby zapobiegania i minimalizacji skutków” (nowy tekst ma 1332 znaków)</w:t>
            </w:r>
          </w:p>
        </w:tc>
        <w:tc>
          <w:tcPr>
            <w:tcW w:type="dxa" w:w="2948"/>
          </w:tcPr>
          <w:p>
            <w:r/>
            <w:r>
              <w:rPr>
                <w:b w:val="0"/>
                <w:sz w:val="18"/>
              </w:rPr>
              <w:t>Cztery działania</w:t>
            </w:r>
          </w:p>
        </w:tc>
        <w:tc>
          <w:tcPr>
            <w:tcW w:type="dxa" w:w="4309"/>
          </w:tcPr>
          <w:p>
            <w:r/>
            <w:r>
              <w:rPr>
                <w:b w:val="0"/>
                <w:sz w:val="18"/>
              </w:rPr>
              <w:t>Ryzyko ograniczamy pięcioma działaniami. Po pierwsze,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Po drugie, wszystkie transakcje z podmiotami powiązanymi z Inwestorem zawieramy na warunkach rynkowych, weryfikowanych tą samą metodą, którą stosujemy do cen rynkowych praw majątkowych między konsorcjantami: rozeznaniem rynku (porównaniem ofert innych przewoźników), niezależną wyceną albo negocjacjami w warunkach pełnej konkurencji. Po trzecie, umowę partnerską dotyczącą floty testowej dokumentujemy odniesieniem do porównywalnych ofert rynkowych (koszty wynajmu floty u innych podmiotów) i wpisujemy do rejestru transakcji. Po czwarte, formalnie ustalamy, czy Everest11 i Natanek Logistics są powiązane w rozumieniu przepisów o podatku dochodowym (próg 25% udziałów, a Inwestor obejmie najwyżej 20%), a niezależnie od wyniku dokumentujemy warunki rynkowe transakcji. Po piąte, niezależność walidacji zabezpiecza ścieżka audytu z zadania Z9 i dywersyfikacja floty (R11). Ocena transakcji jest prowadzona raz na kwartał.</w:t>
            </w:r>
          </w:p>
        </w:tc>
      </w:tr>
      <w:tr>
        <w:tc>
          <w:tcPr>
            <w:tcW w:type="dxa" w:w="567"/>
          </w:tcPr>
          <w:p>
            <w:r/>
            <w:r>
              <w:rPr>
                <w:b w:val="0"/>
                <w:sz w:val="18"/>
              </w:rPr>
              <w:t>3.3</w:t>
            </w:r>
          </w:p>
        </w:tc>
        <w:tc>
          <w:tcPr>
            <w:tcW w:type="dxa" w:w="1928"/>
          </w:tcPr>
          <w:p>
            <w:r/>
            <w:r>
              <w:rPr>
                <w:b w:val="0"/>
                <w:sz w:val="18"/>
              </w:rPr>
              <w:t>Zadanie Z9, akapit „Niezależność wyników zapewnia procedura…” (K3-11), dopisek na końcu akapitu</w:t>
            </w:r>
          </w:p>
        </w:tc>
        <w:tc>
          <w:tcPr>
            <w:tcW w:type="dxa" w:w="2948"/>
          </w:tcPr>
          <w:p>
            <w:r/>
            <w:r>
              <w:rPr>
                <w:b w:val="0"/>
                <w:sz w:val="18"/>
              </w:rPr>
              <w:t>Brak zdania o skali zależności</w:t>
            </w:r>
          </w:p>
        </w:tc>
        <w:tc>
          <w:tcPr>
            <w:tcW w:type="dxa" w:w="4309"/>
          </w:tcPr>
          <w:p>
            <w:r/>
            <w:r>
              <w:rPr>
                <w:b w:val="0"/>
                <w:sz w:val="18"/>
              </w:rPr>
              <w:t>Dopisać: „Natanek Logistics jest też głównym dostawcą usług transportowych Everest11 (ok. 95% zakupów usług), dlatego procedura nie opiera się na ocenie ani deklaracjach pracowników tego podmiotu.”</w:t>
            </w:r>
          </w:p>
        </w:tc>
      </w:tr>
      <w:tr>
        <w:tc>
          <w:tcPr>
            <w:tcW w:type="dxa" w:w="567"/>
          </w:tcPr>
          <w:p>
            <w:r/>
            <w:r>
              <w:rPr>
                <w:b w:val="0"/>
                <w:sz w:val="18"/>
              </w:rPr>
              <w:t>3.4</w:t>
            </w:r>
          </w:p>
        </w:tc>
        <w:tc>
          <w:tcPr>
            <w:tcW w:type="dxa" w:w="1928"/>
          </w:tcPr>
          <w:p>
            <w:r/>
            <w:r>
              <w:rPr>
                <w:b w:val="0"/>
                <w:sz w:val="18"/>
              </w:rPr>
              <w:t>Pole 3.1.2 „Uzasadnienie kosztu: Anotatorzy - wynagrodzenie (Z2)” (K3-39; nowy tekst ma 1491 znaków, limit 1500)</w:t>
            </w:r>
          </w:p>
        </w:tc>
        <w:tc>
          <w:tcPr>
            <w:tcW w:type="dxa" w:w="2948"/>
          </w:tcPr>
          <w:p>
            <w:r/>
            <w:r>
              <w:rPr>
                <w:b w:val="0"/>
                <w:sz w:val="18"/>
              </w:rPr>
              <w:t>Dotychczasowy tekst (888 znaków) nie podaje formy zatrudnienia, nie wskazuje, kto nadzoruje jakość anotacji, ani że taksonomię i protokół opracowuje PRz w Z3</w:t>
            </w:r>
          </w:p>
        </w:tc>
        <w:tc>
          <w:tcPr>
            <w:tcW w:type="dxa" w:w="4309"/>
          </w:tcPr>
          <w:p>
            <w:r/>
            <w:r>
              <w:rPr>
                <w:b w:val="0"/>
                <w:sz w:val="18"/>
              </w:rPr>
              <w:t>Everest11 zatrudni trzech anotatorów na umowę zlecenia, każdego w wymiarze 1,0 etatu przez 10 miesięcy (M9-M18), razem ok. 5 040 godzin w zadaniu Z2. Anotatorzy wykonają anotację co najmniej 15 000 klatek RGB metodą segmentacji instancji w standardzie COCO według taksonomii klas zabezpieczeń TSL i protokołu zbioru, które w zadaniu Z3 opracuje PRz, oraz według schematu anotacji przygotowanego przez AI Lead i AI Senior Engineer Everest11. Nakład wynosi około 11-12 minut na klatkę w gęstych scenach, do czego dochodzą reanotacja po kontroli jakości i niezależna anotacja próby co najmniej 10% klatek. Jakość będzie nadzorowana dwuetapowo: AI Lead zmierzy zgodność anotatorów współczynnikiem Cohena (wymagane co najmniej 0,80; przy niższej wartości próba i klasy o skupionych rozbieżnościach zostaną zaanotowane ponownie), a rozbieżności między anotatorami rozstrzygnie AI Senior Engineer, autor specyfikacji anotacji, według binarnych kryteriów taksonomii z Z3 (specjalista ds. logistyki TSL dostarcza wyłącznie protokoły inspekcji). Anotatorzy zgłaszają przypadki niejednoznaczne, które posłużą PRz do walidacji taksonomii w Z3 (próba pilotażowa w M10). Ich praca jest bezpośrednim udziałem w badaniach przemysłowych, ponieważ wytwarza zbiór referencyjny i dane do pomiaru zgodności, a nie samą techniczną obróbkę datasetu. Zakres stanowiska ma wyłącznie charakter badawczo-rozwojowy i nie obejmuje czynności zarządczych, kierowniczych, koordynacyjnych, administracyjnych ani nadzorczych.</w:t>
            </w:r>
          </w:p>
        </w:tc>
      </w:tr>
    </w:tbl>
    <w:p/>
    <w:p>
      <w:pPr>
        <w:pStyle w:val="Heading1"/>
      </w:pPr>
      <w:r>
        <w:t>5. Sekcja_6.1_zespol_projektowy.docx (uwaga K3-33)</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2381"/>
          </w:tcPr>
          <w:p>
            <w:r/>
            <w:r>
              <w:rPr>
                <w:b/>
                <w:sz w:val="18"/>
              </w:rPr>
              <w:t>Miejsce</w:t>
            </w:r>
          </w:p>
        </w:tc>
        <w:tc>
          <w:tcPr>
            <w:tcW w:type="dxa" w:w="2835"/>
          </w:tcPr>
          <w:p>
            <w:r/>
            <w:r>
              <w:rPr>
                <w:b/>
                <w:sz w:val="18"/>
              </w:rPr>
              <w:t>Dotychczasowy zapis</w:t>
            </w:r>
          </w:p>
        </w:tc>
        <w:tc>
          <w:tcPr>
            <w:tcW w:type="dxa" w:w="3969"/>
          </w:tcPr>
          <w:p>
            <w:r/>
            <w:r>
              <w:rPr>
                <w:b/>
                <w:sz w:val="18"/>
              </w:rPr>
              <w:t>Nowy zapis</w:t>
            </w:r>
          </w:p>
        </w:tc>
      </w:tr>
      <w:tr>
        <w:tc>
          <w:tcPr>
            <w:tcW w:type="dxa" w:w="567"/>
          </w:tcPr>
          <w:p>
            <w:r/>
            <w:r>
              <w:rPr>
                <w:b w:val="0"/>
                <w:sz w:val="18"/>
              </w:rPr>
              <w:t>5.1</w:t>
            </w:r>
          </w:p>
        </w:tc>
        <w:tc>
          <w:tcPr>
            <w:tcW w:type="dxa" w:w="2381"/>
          </w:tcPr>
          <w:p>
            <w:r/>
            <w:r>
              <w:rPr>
                <w:b w:val="0"/>
                <w:sz w:val="18"/>
              </w:rPr>
              <w:t>Pole zakresu obowiązków Jakuba Kosterny (AI Lead), na końcu</w:t>
            </w:r>
          </w:p>
        </w:tc>
        <w:tc>
          <w:tcPr>
            <w:tcW w:type="dxa" w:w="2835"/>
          </w:tcPr>
          <w:p>
            <w:r/>
            <w:r>
              <w:rPr>
                <w:b w:val="0"/>
                <w:sz w:val="18"/>
              </w:rPr>
              <w:t>Brak jednoznacznej deklaracji o funkcjach zarządczych i nadzorczych (jest tylko zdanie „Prace będą wyłącznie badawczo-rozwojowe”).</w:t>
            </w:r>
          </w:p>
        </w:tc>
        <w:tc>
          <w:tcPr>
            <w:tcW w:type="dxa" w:w="3969"/>
          </w:tcPr>
          <w:p>
            <w:r/>
            <w:r>
              <w:rPr>
                <w:b w:val="0"/>
                <w:sz w:val="18"/>
              </w:rPr>
              <w:t>Jakub Kosterna nie pełni w Everest11 funkcji zarządczych, kierowniczych, koordynacyjnych, administracyjnych ani nadzorczych i nie będzie ich pełnił w projekcie. Jako AI Lead wykona wyłącznie prace badawczo-rozwojowe: zaprojektuje architekturę potoku danych i schemat anotacji, a ocena zgodności anotatorów i przeliczenie metryk PRz na zamrożonym zbiorze są pomiarami wyników badań, a nie kierowaniem zespołem ani nadzorem nad pracownikami. Wymaga potwierdzenia właścicielki, że Jakub Kosterna nie jest członkiem zarządu ani nie kieruje zespołem w Everest11.</w:t>
            </w:r>
          </w:p>
        </w:tc>
      </w:tr>
      <w:tr>
        <w:tc>
          <w:tcPr>
            <w:tcW w:type="dxa" w:w="567"/>
          </w:tcPr>
          <w:p>
            <w:r/>
            <w:r>
              <w:rPr>
                <w:b w:val="0"/>
                <w:sz w:val="18"/>
              </w:rPr>
              <w:t>5.2</w:t>
            </w:r>
          </w:p>
        </w:tc>
        <w:tc>
          <w:tcPr>
            <w:tcW w:type="dxa" w:w="2381"/>
          </w:tcPr>
          <w:p>
            <w:r/>
            <w:r>
              <w:rPr>
                <w:b w:val="0"/>
                <w:sz w:val="18"/>
              </w:rPr>
              <w:t>Pole zakresu obowiązków czterech osób PRz (Batsch, Nowak, Kusy, Król): zdanie dopisane dla każdej osoby</w:t>
            </w:r>
          </w:p>
        </w:tc>
        <w:tc>
          <w:tcPr>
            <w:tcW w:type="dxa" w:w="2835"/>
          </w:tcPr>
          <w:p>
            <w:r/>
            <w:r>
              <w:rPr>
                <w:b w:val="0"/>
                <w:sz w:val="18"/>
              </w:rPr>
              <w:t>Brak deklaracji. W biografiach z wniosku żadna z tych osób nie ma wskazanej funkcji kierowniczej na uczelni (Batsch i Nowak to adiunkci, Kusy profesor uczelni w Katedrze, Król asystentka).</w:t>
            </w:r>
          </w:p>
        </w:tc>
        <w:tc>
          <w:tcPr>
            <w:tcW w:type="dxa" w:w="3969"/>
          </w:tcPr>
          <w:p>
            <w:r/>
            <w:r>
              <w:rPr>
                <w:b w:val="0"/>
                <w:sz w:val="18"/>
              </w:rPr>
              <w:t>Osoba ta wykona w projekcie wyłącznie prace badawczo-rozwojowe w zadaniach Z1, Z3, Z4, Z5 i Z8 wskazanych w opisie zadań. Nie pełni w projekcie ani w Politechnice Rzeszowskiej funkcji zarządczych, kierowniczych, koordynacyjnych, administracyjnych ani nadzorczych, a wynagrodzenie z projektu nie obejmuje takich czynności. Wklejamy po pisemnym potwierdzeniu przez PRz, że żadna z czterech osób nie pełni funkcji zarządczych ani kierowniczych na uczelni.</w:t>
            </w:r>
          </w:p>
        </w:tc>
      </w:tr>
      <w:tr>
        <w:tc>
          <w:tcPr>
            <w:tcW w:type="dxa" w:w="567"/>
          </w:tcPr>
          <w:p>
            <w:r/>
            <w:r>
              <w:rPr>
                <w:b w:val="0"/>
                <w:sz w:val="18"/>
              </w:rPr>
              <w:t>5.3</w:t>
            </w:r>
          </w:p>
        </w:tc>
        <w:tc>
          <w:tcPr>
            <w:tcW w:type="dxa" w:w="2381"/>
          </w:tcPr>
          <w:p>
            <w:r/>
            <w:r>
              <w:rPr>
                <w:b w:val="0"/>
                <w:sz w:val="18"/>
              </w:rPr>
              <w:t>Pole „Sposób zarządzania projektem”, na końcu akapitu o kierownikach (zdanie od „Kierownik B+R i kierownik zarządzający są pracownikami PRz…”)</w:t>
            </w:r>
          </w:p>
        </w:tc>
        <w:tc>
          <w:tcPr>
            <w:tcW w:type="dxa" w:w="2835"/>
          </w:tcPr>
          <w:p>
            <w:r/>
            <w:r>
              <w:rPr>
                <w:b w:val="0"/>
                <w:sz w:val="18"/>
              </w:rPr>
              <w:t>Zdanie o braku funkcji zarządczych w PRz, bez informacji o kategorii kosztu.</w:t>
            </w:r>
          </w:p>
        </w:tc>
        <w:tc>
          <w:tcPr>
            <w:tcW w:type="dxa" w:w="3969"/>
          </w:tcPr>
          <w:p>
            <w:r/>
            <w:r>
              <w:rPr>
                <w:b w:val="0"/>
                <w:sz w:val="18"/>
              </w:rPr>
              <w:t>Dopisać: „Wynagrodzenie kierownika B+R, kierownika zarządzającego i zastępcy kierownika zarządzającego zostanie ujęte w kosztach pośrednich, a nie w kategorii „Personel projektu”.”</w:t>
            </w:r>
          </w:p>
        </w:tc>
      </w:tr>
      <w:tr>
        <w:tc>
          <w:tcPr>
            <w:tcW w:type="dxa" w:w="567"/>
          </w:tcPr>
          <w:p>
            <w:r/>
            <w:r>
              <w:rPr>
                <w:b w:val="0"/>
                <w:sz w:val="18"/>
              </w:rPr>
              <w:t>5.4</w:t>
            </w:r>
          </w:p>
        </w:tc>
        <w:tc>
          <w:tcPr>
            <w:tcW w:type="dxa" w:w="2381"/>
          </w:tcPr>
          <w:p>
            <w:r/>
            <w:r>
              <w:rPr>
                <w:b w:val="0"/>
                <w:sz w:val="18"/>
              </w:rPr>
              <w:t>Biografia i zakres obowiązków Andrzeja Włocha (PRz); pozycje kosztowe 3.1.2: Z1, Z3, Z4, Z5, Z8</w:t>
            </w:r>
          </w:p>
        </w:tc>
        <w:tc>
          <w:tcPr>
            <w:tcW w:type="dxa" w:w="2835"/>
          </w:tcPr>
          <w:p>
            <w:r/>
            <w:r>
              <w:rPr>
                <w:b w:val="0"/>
                <w:sz w:val="18"/>
              </w:rPr>
              <w:t>Biografia: „profesor uczelni, kierownik Zakładu Modelowania Matematycznego Politechniki Rzeszowskiej”, a koszt w kategorii „Personel projektu”.</w:t>
            </w:r>
          </w:p>
        </w:tc>
        <w:tc>
          <w:tcPr>
            <w:tcW w:type="dxa" w:w="3969"/>
          </w:tcPr>
          <w:p>
            <w:r/>
            <w:r>
              <w:rPr>
                <w:b w:val="0"/>
                <w:sz w:val="18"/>
              </w:rPr>
              <w:t>Dr hab. Andrzej Włoch jest w biografii z wniosku opisany jako „profesor uczelni, kierownik Zakładu Modelowania Matematycznego Politechniki Rzeszowskiej”. Przewodnik kwalifikowalności (pkt 3.3.1 i 3.3.9) wyłącza z kategorii „Personel projektu” każdego, kto zarządza, nadzoruje lub koordynuje u Lidera albo konsorcjanta, a koszt takiej osoby może być rozliczony wyłącznie w kosztach pośrednich, bez podziału na część B+R. Do decyzji, po uzyskaniu odpowiedzi PRz, dwa warianty. Wariant A (PRz potwierdza, że kieruje Zakładem): wynagrodzenie Andrzeja Włocha znika z kategorii „Personel projektu” PRz (Z1 11 016,00 zł, Z3 37 087,20 zł, Z4 17 442,00 zł, Z5 6 976,80 zł, Z8 9 271,80 zł, razem 81 793,80 zł, 900 godzin), a w kosztach pośrednich nie jest finansowane odrębnie, bo są ryczałtem 25%. Koszty bezpośrednie PRz spadają o 81 793,80 zł, a koszty pośrednie o 20 448,45 zł, razem o 102 242,25 zł. Dofinansowanie nie rośnie. Zadania modelowania i walidacji statystycznej trzeba przypisać innym osobom z PRz bez zwiększenia budżetu (do ustalenia z PRz). Wariant B (PRz potwierdza na piśmie, że nie pełni ani nie pełnił funkcji kierowniczej w okresie projektu): w biografii z wniosku usunąć słowa „kierownik Zakładu Modelowania Matematycznego”, a w polu zakresu obowiązków dopisać zdanie z poz. 5.2. Wariant dopuszczalny tylko, jeśli opis w obecnym wniosku jest nieprawdziwy albo nieaktualny.</w:t>
            </w:r>
          </w:p>
        </w:tc>
      </w:tr>
    </w:tbl>
    <w:p/>
    <w:p>
      <w:pPr>
        <w:pStyle w:val="Heading1"/>
      </w:pPr>
      <w:r>
        <w:t>6. Pola we wniosku (LSI) poza plikami</w:t>
      </w:r>
    </w:p>
    <w:tbl>
      <w:tblPr>
        <w:tblStyle w:val="TableGrid"/>
        <w:tblW w:type="auto" w:w="0"/>
        <w:tblLook w:firstColumn="1" w:firstRow="1" w:lastColumn="0" w:lastRow="0" w:noHBand="0" w:noVBand="1" w:val="04A0"/>
      </w:tblPr>
      <w:tblGrid>
        <w:gridCol w:w="3213"/>
        <w:gridCol w:w="3213"/>
        <w:gridCol w:w="3213"/>
      </w:tblGrid>
      <w:tr>
        <w:tc>
          <w:tcPr>
            <w:tcW w:type="dxa" w:w="567"/>
          </w:tcPr>
          <w:p>
            <w:r/>
            <w:r>
              <w:rPr>
                <w:b/>
                <w:sz w:val="18"/>
              </w:rPr>
              <w:t>Nr</w:t>
            </w:r>
          </w:p>
        </w:tc>
        <w:tc>
          <w:tcPr>
            <w:tcW w:type="dxa" w:w="3118"/>
          </w:tcPr>
          <w:p>
            <w:r/>
            <w:r>
              <w:rPr>
                <w:b/>
                <w:sz w:val="18"/>
              </w:rPr>
              <w:t>Miejsce</w:t>
            </w:r>
          </w:p>
        </w:tc>
        <w:tc>
          <w:tcPr>
            <w:tcW w:type="dxa" w:w="6066"/>
          </w:tcPr>
          <w:p>
            <w:r/>
            <w:r>
              <w:rPr>
                <w:b/>
                <w:sz w:val="18"/>
              </w:rPr>
              <w:t>Zmiana</w:t>
            </w:r>
          </w:p>
        </w:tc>
      </w:tr>
      <w:tr>
        <w:tc>
          <w:tcPr>
            <w:tcW w:type="dxa" w:w="567"/>
          </w:tcPr>
          <w:p>
            <w:r/>
            <w:r>
              <w:rPr>
                <w:b w:val="0"/>
                <w:sz w:val="18"/>
              </w:rPr>
              <w:t>4.1</w:t>
            </w:r>
          </w:p>
        </w:tc>
        <w:tc>
          <w:tcPr>
            <w:tcW w:type="dxa" w:w="3118"/>
          </w:tcPr>
          <w:p>
            <w:r/>
            <w:r>
              <w:rPr>
                <w:b w:val="0"/>
                <w:sz w:val="18"/>
              </w:rPr>
              <w:t>Opis dokapitalizowania, źródła finansowania wkładu własnego (K6-12)</w:t>
            </w:r>
          </w:p>
        </w:tc>
        <w:tc>
          <w:tcPr>
            <w:tcW w:type="dxa" w:w="6066"/>
          </w:tcPr>
          <w:p>
            <w:r/>
            <w:r>
              <w:rPr>
                <w:b w:val="0"/>
                <w:sz w:val="18"/>
              </w:rPr>
              <w:t>Dopisać na końcu opisu: „Kapitał zakładowy Everest11 wynosi 5 000 zł (100 udziałów po 50 zł), a jedynym wspólnikiem i prezesem zarządu jest Wojciech Chrzanowski (wpis w KRS z 02.06.2025 r.). Wkład własny wniesie inwestor, Zbigniew Natanek, który obejmie wszystkie nowe udziały w podwyższonym kapitale zakładowym na podstawie uchwały wspólników wskazującej go jako jedyną osobę uprawnioną do objęcia udziałów. Dotychczasowy wspólnik nie obejmie nowych udziałów i nie wniesie środków. Kapitał zakładowy wzrośnie tylko o wartość nominalną nowych udziałów: przy objęciu 25 udziałów po 50 zł, które odpowiadają 20% kapitału po podwyższeniu, będzie to 1 250 zł. Pozostała część wkładu inwestora (1 253 358 zł pomniejszone o wartość nominalną) zostanie wniesiona jako nadwyżka ponad wartość nominalną udziałów i przekazana na kapitał zapasowy. Liczbę obejmowanych udziałów i cenę emisyjną określi profesjonalna wycena spółki przeprowadzona po przyznaniu dofinansowania, a udział inwestora nie przekroczy 20% zgodnie z warunkową umową inwestycyjną. Pozostałe udziały, czyli co najmniej 80% kapitału po podwyższeniu, pozostają przy dotychczasowym wspólniku.”</w:t>
            </w:r>
          </w:p>
        </w:tc>
      </w:tr>
      <w:tr>
        <w:tc>
          <w:tcPr>
            <w:tcW w:type="dxa" w:w="567"/>
          </w:tcPr>
          <w:p>
            <w:r/>
            <w:r>
              <w:rPr>
                <w:b w:val="0"/>
                <w:sz w:val="18"/>
              </w:rPr>
              <w:t>4.2</w:t>
            </w:r>
          </w:p>
        </w:tc>
        <w:tc>
          <w:tcPr>
            <w:tcW w:type="dxa" w:w="3118"/>
          </w:tcPr>
          <w:p>
            <w:r/>
            <w:r>
              <w:rPr>
                <w:b w:val="0"/>
                <w:sz w:val="18"/>
              </w:rPr>
              <w:t>Model finansowy Everest11 (załącznik w LSI)</w:t>
            </w:r>
          </w:p>
        </w:tc>
        <w:tc>
          <w:tcPr>
            <w:tcW w:type="dxa" w:w="6066"/>
          </w:tcPr>
          <w:p>
            <w:r/>
            <w:r>
              <w:rPr>
                <w:b w:val="0"/>
                <w:sz w:val="18"/>
              </w:rPr>
              <w:t>Podmienić plik na Model_finansowy_CargoDT_Everest_II_kwartal_2026.xlsm (dane za II kwartał 2026, komentarze, harmonogram płatności).</w:t>
            </w:r>
          </w:p>
        </w:tc>
      </w:tr>
      <w:tr>
        <w:tc>
          <w:tcPr>
            <w:tcW w:type="dxa" w:w="567"/>
          </w:tcPr>
          <w:p>
            <w:r/>
            <w:r>
              <w:rPr>
                <w:b w:val="0"/>
                <w:sz w:val="18"/>
              </w:rPr>
              <w:t>4.3</w:t>
            </w:r>
          </w:p>
        </w:tc>
        <w:tc>
          <w:tcPr>
            <w:tcW w:type="dxa" w:w="3118"/>
          </w:tcPr>
          <w:p>
            <w:r/>
            <w:r>
              <w:rPr>
                <w:b w:val="0"/>
                <w:sz w:val="18"/>
              </w:rPr>
              <w:t>Załączniki</w:t>
            </w:r>
          </w:p>
        </w:tc>
        <w:tc>
          <w:tcPr>
            <w:tcW w:type="dxa" w:w="6066"/>
          </w:tcPr>
          <w:p>
            <w:r/>
            <w:r>
              <w:rPr>
                <w:b w:val="0"/>
                <w:sz w:val="18"/>
              </w:rPr>
              <w:t>Dodać podpisane sprawozdania za II kwartał 2026 (bilans i rachunek zysków i strat na 30.06.2026), usunąć sprawozdania za I kwartał.</w:t>
            </w:r>
          </w:p>
        </w:tc>
      </w:tr>
    </w:tbl>
    <w:p/>
    <w:p>
      <w:pPr>
        <w:pStyle w:val="Heading1"/>
      </w:pPr>
      <w:r>
        <w:t>7. Przegląd pliku CargoDT_LSI_do_wklejenia.docx (06.10.2026)</w:t>
      </w:r>
    </w:p>
    <w:p>
      <w:r>
        <w:rPr>
          <w:b w:val="0"/>
        </w:rPr>
        <w:t xml:space="preserve">Sprawdziłam cały plik (część A i B) z uwagami panelu (K1 do K14), z wnioskiem w wersji C (podgląd z 05.10.2026), z modelem finansowym i z naszymi decyzjami D47 do D49. </w:t>
      </w:r>
      <w:r>
        <w:rPr>
          <w:b/>
        </w:rPr>
        <w:t>Werdykt: plik w większości odpowiada na uwagi techniczne (K1, K3 zadania i kamienie milowe, ryzyka R1 do R5 i R9) i progi są w nim spójne, ale nie wolno go wklejać bez poprawek.</w:t>
      </w:r>
      <w:r>
        <w:rPr>
          <w:b w:val="0"/>
        </w:rPr>
        <w:t xml:space="preserve"> Ma 3 problemy wysokiej wagi (poz. 2, 3 i 5 w tabeli 7.3), które albo przeczą naszym decyzjom, albo podają w LSI treść niezgodną z faktami, albo nie dotyczą tekstu, który jest w LSI.</w:t>
      </w:r>
    </w:p>
    <w:p>
      <w:pPr>
        <w:pStyle w:val="Heading2"/>
      </w:pPr>
      <w:r>
        <w:t>7.1 Co jest sprawdzone i spójne</w:t>
      </w:r>
    </w:p>
    <w:p>
      <w:pPr>
        <w:pStyle w:val="ListBullet"/>
      </w:pPr>
      <w:r>
        <w:rPr>
          <w:b/>
        </w:rPr>
        <w:t>Progi i liczby powtarzają się identycznie</w:t>
      </w:r>
      <w:r>
        <w:rPr>
          <w:b w:val="0"/>
        </w:rPr>
        <w:t xml:space="preserve"> w polach wskaźników (W1 do W5, I1, I2), kamieniach milowych (KM-Z1 do KM-Z9), ryzykach (R1 do R5, R9) i opisach zadań: błąd położenia mediana 0,30 m i P95 0,35 m, błąd względny 0,03 m i 0,05 m, próg decyzyjny 0,07 m (powyżej P95 0,05 m), 5 Hz, AUC-ROC 0,85 (FP32) i 0,82 (po kompresji), mAP 0,75 i 0,72, alert 1 s (margines projektowy 0,3 s), PoC 30 s, pokrycie eFTI 95%, zgodność treści 90%, 180 kursów, 200 cykli, 2 000 obrazów, 50 ZR na klasę, 83,7 m3 z 88,1 m3 (95%). To zamyka uwagi K1-03, K1-04, K3-13 do K3-22.</w:t>
      </w:r>
    </w:p>
    <w:p>
      <w:pPr>
        <w:pStyle w:val="ListBullet"/>
      </w:pPr>
      <w:r>
        <w:rPr>
          <w:b/>
        </w:rPr>
        <w:t>Arytmetyka cen i rynku:</w:t>
      </w:r>
      <w:r>
        <w:rPr>
          <w:b w:val="0"/>
        </w:rPr>
        <w:t xml:space="preserve"> zestaw 4 875 zł to 65% z 7 500 zł; 12 168 zł w pierwszym roku dla floty 10 naczep (7 500 + 4 188 + 480); 1 666 do 4 165 SDR to 8 489 do 21 222 zł po kursie 5,0954; 544 970 x 72% x 86% to ok. 337 tys. naczep, SAM 200 tys. to 37% TAM, 1 000 pojazdów to 0,50% SAM i 0,18% TAM; przychody 2030 (300 pojazdo-miesięcy x 349 zł + 50 zestawów x 7 500 zł + API) i suma 14 328 132 zł; 1 470 768 zł to suma 2030 i 2031.</w:t>
      </w:r>
    </w:p>
    <w:p>
      <w:pPr>
        <w:pStyle w:val="ListBullet"/>
      </w:pPr>
      <w:r>
        <w:rPr>
          <w:b/>
        </w:rPr>
        <w:t>Terminy:</w:t>
      </w:r>
      <w:r>
        <w:rPr>
          <w:b w:val="0"/>
        </w:rPr>
        <w:t xml:space="preserve"> wersje RC modeli Z4 i Z5 w M24, Z8 w M26, odbiór w M27 (R9, Z4, Z5, Z8, Z7, Z6 mówią to samo); oświadczenie Lidera do 28.08.2029 (120 dni od 04/2029) i przeniesienie praw do 30.11.2029 powtarzają się w 2.2, 2.3, R10 i Z11; eFTI od lipca 2027 r. we wszystkich miejscach (poprawna data, w odróżnieniu od komentarza w modelu, patrz E32).</w:t>
      </w:r>
    </w:p>
    <w:p>
      <w:pPr>
        <w:pStyle w:val="ListBullet"/>
      </w:pPr>
      <w:r>
        <w:rPr>
          <w:b/>
        </w:rPr>
        <w:t>Cicha notyfikacja w kabinie</w:t>
      </w:r>
      <w:r>
        <w:rPr>
          <w:b w:val="0"/>
        </w:rPr>
        <w:t xml:space="preserve"> jest opisana jednakowo w zmianie 9, W5, części III 1.3, Z7, 7.1 i 7.3 (alert dźwiękowy tylko u dyspozytora), a buzzer ma służyć tylko do alarmu antykradzieżowego.</w:t>
      </w:r>
    </w:p>
    <w:p>
      <w:pPr>
        <w:pStyle w:val="Heading2"/>
      </w:pPr>
      <w:r>
        <w:t>7.2 Czy opisy odpowiadają na uwagi eksperta</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Uwagi</w:t>
            </w:r>
          </w:p>
        </w:tc>
        <w:tc>
          <w:tcPr>
            <w:tcW w:type="dxa" w:w="1247"/>
          </w:tcPr>
          <w:p>
            <w:r/>
            <w:r>
              <w:rPr>
                <w:b/>
                <w:sz w:val="18"/>
              </w:rPr>
              <w:t>Ocena</w:t>
            </w:r>
          </w:p>
        </w:tc>
        <w:tc>
          <w:tcPr>
            <w:tcW w:type="dxa" w:w="6463"/>
          </w:tcPr>
          <w:p>
            <w:r/>
            <w:r>
              <w:rPr>
                <w:b/>
                <w:sz w:val="18"/>
              </w:rPr>
              <w:t>Komentarz</w:t>
            </w:r>
          </w:p>
        </w:tc>
      </w:tr>
      <w:tr>
        <w:tc>
          <w:tcPr>
            <w:tcW w:type="dxa" w:w="2041"/>
          </w:tcPr>
          <w:p>
            <w:r/>
            <w:r>
              <w:rPr>
                <w:b w:val="0"/>
                <w:sz w:val="18"/>
              </w:rPr>
              <w:t>K1-01 do K1-06 (stan techniki, wskaźniki, innowacja cyfrowa)</w:t>
            </w:r>
          </w:p>
        </w:tc>
        <w:tc>
          <w:tcPr>
            <w:tcW w:type="dxa" w:w="1247"/>
          </w:tcPr>
          <w:p>
            <w:r/>
            <w:r>
              <w:rPr>
                <w:b w:val="0"/>
                <w:sz w:val="18"/>
              </w:rPr>
              <w:t>Tak</w:t>
            </w:r>
          </w:p>
        </w:tc>
        <w:tc>
          <w:tcPr>
            <w:tcW w:type="dxa" w:w="6463"/>
          </w:tcPr>
          <w:p>
            <w:r/>
            <w:r>
              <w:rPr>
                <w:b w:val="0"/>
                <w:sz w:val="18"/>
              </w:rPr>
              <w:t>Każdy z 5 wskaźników ma wartość bazową z pomiaru albo z dokumentacji, uzasadnienie wartości docelowej, produkt referencyjny z datą dostępu i sposób weryfikacji. AUC 0,50 i interwał GSM nie są już punktem odniesienia. Pokrycie eFTI jest osobnym wskaźnikiem (I2). Wskaźnik ceny i fill rate usunięte zgodnie z K1-05. Pozostaje REDUCE 65% do 80% w pkt 7.4 (K13-03), którego plik nie dotyka.</w:t>
            </w:r>
          </w:p>
        </w:tc>
      </w:tr>
      <w:tr>
        <w:tc>
          <w:tcPr>
            <w:tcW w:type="dxa" w:w="2041"/>
          </w:tcPr>
          <w:p>
            <w:r/>
            <w:r>
              <w:rPr>
                <w:b w:val="0"/>
                <w:sz w:val="18"/>
              </w:rPr>
              <w:t>K2-01 (baza ponad 50 kontrahentów)</w:t>
            </w:r>
          </w:p>
        </w:tc>
        <w:tc>
          <w:tcPr>
            <w:tcW w:type="dxa" w:w="1247"/>
          </w:tcPr>
          <w:p>
            <w:r/>
            <w:r>
              <w:rPr>
                <w:b w:val="0"/>
                <w:sz w:val="18"/>
              </w:rPr>
              <w:t>Częściowo</w:t>
            </w:r>
          </w:p>
        </w:tc>
        <w:tc>
          <w:tcPr>
            <w:tcW w:type="dxa" w:w="6463"/>
          </w:tcPr>
          <w:p>
            <w:r/>
            <w:r>
              <w:rPr>
                <w:b w:val="0"/>
                <w:sz w:val="18"/>
              </w:rPr>
              <w:t>Plik utrzymuje bazę „ponad 50 kontrahentów” (decyzja D59: zostaje) w 5 miejscach, ale pisze o niej jako o aktywnej i nie podaje jej struktury, a uwaga prosi o strukturę (patrz 7.3, poz. 1).</w:t>
            </w:r>
          </w:p>
        </w:tc>
      </w:tr>
      <w:tr>
        <w:tc>
          <w:tcPr>
            <w:tcW w:type="dxa" w:w="2041"/>
          </w:tcPr>
          <w:p>
            <w:r/>
            <w:r>
              <w:rPr>
                <w:b w:val="0"/>
                <w:sz w:val="18"/>
              </w:rPr>
              <w:t>K2-02, K2-03 (prawa, FTO)</w:t>
            </w:r>
          </w:p>
        </w:tc>
        <w:tc>
          <w:tcPr>
            <w:tcW w:type="dxa" w:w="1247"/>
          </w:tcPr>
          <w:p>
            <w:r/>
            <w:r>
              <w:rPr>
                <w:b w:val="0"/>
                <w:sz w:val="18"/>
              </w:rPr>
              <w:t>Częściowo</w:t>
            </w:r>
          </w:p>
        </w:tc>
        <w:tc>
          <w:tcPr>
            <w:tcW w:type="dxa" w:w="6463"/>
          </w:tcPr>
          <w:p>
            <w:r/>
            <w:r>
              <w:rPr>
                <w:b w:val="0"/>
                <w:sz w:val="18"/>
              </w:rPr>
              <w:t>FTO per element, status i terytoria opisane dobrze. Prawa: terminy spójne w 2.2, 2.3 i Z11, ale R10 mówi co innego (patrz poz. 6).</w:t>
            </w:r>
          </w:p>
        </w:tc>
      </w:tr>
      <w:tr>
        <w:tc>
          <w:tcPr>
            <w:tcW w:type="dxa" w:w="2041"/>
          </w:tcPr>
          <w:p>
            <w:r/>
            <w:r>
              <w:rPr>
                <w:b w:val="0"/>
                <w:sz w:val="18"/>
              </w:rPr>
              <w:t>K2-04, K2-06 do K2-11, K2-17</w:t>
            </w:r>
          </w:p>
        </w:tc>
        <w:tc>
          <w:tcPr>
            <w:tcW w:type="dxa" w:w="1247"/>
          </w:tcPr>
          <w:p>
            <w:r/>
            <w:r>
              <w:rPr>
                <w:b w:val="0"/>
                <w:sz w:val="18"/>
              </w:rPr>
              <w:t>Tak</w:t>
            </w:r>
          </w:p>
        </w:tc>
        <w:tc>
          <w:tcPr>
            <w:tcW w:type="dxa" w:w="6463"/>
          </w:tcPr>
          <w:p>
            <w:r/>
            <w:r>
              <w:rPr>
                <w:b w:val="0"/>
                <w:sz w:val="18"/>
              </w:rPr>
              <w:t>Produkcja, kompletacja i serwis, ceny z kosztem komponentów, data wdrożenia 01.2030, strategia marketingowa, funkcjonowanie u klienta (zmiana 9) i listy intencyjne z nazwami są opisane. Wymagają tylko pól oznaczonych jako do uzupełnienia (7.4).</w:t>
            </w:r>
          </w:p>
        </w:tc>
      </w:tr>
      <w:tr>
        <w:tc>
          <w:tcPr>
            <w:tcW w:type="dxa" w:w="2041"/>
          </w:tcPr>
          <w:p>
            <w:r/>
            <w:r>
              <w:rPr>
                <w:b w:val="0"/>
                <w:sz w:val="18"/>
              </w:rPr>
              <w:t>K2-05 (TAM/SAM/SOM)</w:t>
            </w:r>
          </w:p>
        </w:tc>
        <w:tc>
          <w:tcPr>
            <w:tcW w:type="dxa" w:w="1247"/>
          </w:tcPr>
          <w:p>
            <w:r/>
            <w:r>
              <w:rPr>
                <w:b w:val="0"/>
                <w:sz w:val="18"/>
              </w:rPr>
              <w:t>Częściowo</w:t>
            </w:r>
          </w:p>
        </w:tc>
        <w:tc>
          <w:tcPr>
            <w:tcW w:type="dxa" w:w="6463"/>
          </w:tcPr>
          <w:p>
            <w:r/>
            <w:r>
              <w:rPr>
                <w:b w:val="0"/>
                <w:sz w:val="18"/>
              </w:rPr>
              <w:t>Wyliczenie SAM jest jawne. Zdania o CEE sprzeczne z modelem i między sobą (poz. 4).</w:t>
            </w:r>
          </w:p>
        </w:tc>
      </w:tr>
      <w:tr>
        <w:tc>
          <w:tcPr>
            <w:tcW w:type="dxa" w:w="2041"/>
          </w:tcPr>
          <w:p>
            <w:r/>
            <w:r>
              <w:rPr>
                <w:b w:val="0"/>
                <w:sz w:val="18"/>
              </w:rPr>
              <w:t>K2-15 (ceny konkurencji)</w:t>
            </w:r>
          </w:p>
        </w:tc>
        <w:tc>
          <w:tcPr>
            <w:tcW w:type="dxa" w:w="1247"/>
          </w:tcPr>
          <w:p>
            <w:r/>
            <w:r>
              <w:rPr>
                <w:b w:val="0"/>
                <w:sz w:val="18"/>
              </w:rPr>
              <w:t>Częściowo</w:t>
            </w:r>
          </w:p>
        </w:tc>
        <w:tc>
          <w:tcPr>
            <w:tcW w:type="dxa" w:w="6463"/>
          </w:tcPr>
          <w:p>
            <w:r/>
            <w:r>
              <w:rPr>
                <w:b w:val="0"/>
                <w:sz w:val="18"/>
              </w:rPr>
              <w:t>Porównanie kosztowe jest, ale „ok. czterokrotnie droższy” liczy się inaczej w 1.3 i w 2.4, a wniosek o zwrocie przy jednym roszczeniu jest za mocny (poz. 7).</w:t>
            </w:r>
          </w:p>
        </w:tc>
      </w:tr>
      <w:tr>
        <w:tc>
          <w:tcPr>
            <w:tcW w:type="dxa" w:w="2041"/>
          </w:tcPr>
          <w:p>
            <w:r/>
            <w:r>
              <w:rPr>
                <w:b w:val="0"/>
                <w:sz w:val="18"/>
              </w:rPr>
              <w:t>K3-01 do K3-09, K3-12 do K3-23</w:t>
            </w:r>
          </w:p>
        </w:tc>
        <w:tc>
          <w:tcPr>
            <w:tcW w:type="dxa" w:w="1247"/>
          </w:tcPr>
          <w:p>
            <w:r/>
            <w:r>
              <w:rPr>
                <w:b w:val="0"/>
                <w:sz w:val="18"/>
              </w:rPr>
              <w:t>Tak</w:t>
            </w:r>
          </w:p>
        </w:tc>
        <w:tc>
          <w:tcPr>
            <w:tcW w:type="dxa" w:w="6463"/>
          </w:tcPr>
          <w:p>
            <w:r/>
            <w:r>
              <w:rPr>
                <w:b w:val="0"/>
                <w:sz w:val="18"/>
              </w:rPr>
              <w:t>Opisy zadań rozdzielają prace B+R od czynności technicznych, mają hipotezy, metodę, próby i harmonogram z oknami korekt. Z8 i Z9 mają czas na domain shift. Zasada „jedno zadanie, jeden członek konsorcjum” spełniona (PRz nie ma prac ani kosztów w Z9). Zostają szczegóły w poz. 9 i 10.</w:t>
            </w:r>
          </w:p>
        </w:tc>
      </w:tr>
      <w:tr>
        <w:tc>
          <w:tcPr>
            <w:tcW w:type="dxa" w:w="2041"/>
          </w:tcPr>
          <w:p>
            <w:r/>
            <w:r>
              <w:rPr>
                <w:b w:val="0"/>
                <w:sz w:val="18"/>
              </w:rPr>
              <w:t>K3-10, K3-05 (anotatorzy w Z2)</w:t>
            </w:r>
          </w:p>
        </w:tc>
        <w:tc>
          <w:tcPr>
            <w:tcW w:type="dxa" w:w="1247"/>
          </w:tcPr>
          <w:p>
            <w:r/>
            <w:r>
              <w:rPr>
                <w:b w:val="0"/>
                <w:sz w:val="18"/>
              </w:rPr>
              <w:t>Tak</w:t>
            </w:r>
          </w:p>
        </w:tc>
        <w:tc>
          <w:tcPr>
            <w:tcW w:type="dxa" w:w="6463"/>
          </w:tcPr>
          <w:p>
            <w:r/>
            <w:r>
              <w:rPr>
                <w:b w:val="0"/>
                <w:sz w:val="18"/>
              </w:rPr>
              <w:t>Personel na zlecenie, nie podwykonawca (R8 poprawione), 15 000 klatek, kappa 0,80, rozbieżności rozstrzyga AI Senior Engineer, specjalista TSL tylko dostarcza protokoły inspekcji. Zgodne z moją poprawką pozycji 3.4 (wcześniej tam było, że etykietę zatwierdza TSL, już poprawione).</w:t>
            </w:r>
          </w:p>
        </w:tc>
      </w:tr>
      <w:tr>
        <w:tc>
          <w:tcPr>
            <w:tcW w:type="dxa" w:w="2041"/>
          </w:tcPr>
          <w:p>
            <w:r/>
            <w:r>
              <w:rPr>
                <w:b w:val="0"/>
                <w:sz w:val="18"/>
              </w:rPr>
              <w:t>K3-11 (niezależność Z9)</w:t>
            </w:r>
          </w:p>
        </w:tc>
        <w:tc>
          <w:tcPr>
            <w:tcW w:type="dxa" w:w="1247"/>
          </w:tcPr>
          <w:p>
            <w:r/>
            <w:r>
              <w:rPr>
                <w:b w:val="0"/>
                <w:sz w:val="18"/>
              </w:rPr>
              <w:t>Częściowo</w:t>
            </w:r>
          </w:p>
        </w:tc>
        <w:tc>
          <w:tcPr>
            <w:tcW w:type="dxa" w:w="6463"/>
          </w:tcPr>
          <w:p>
            <w:r/>
            <w:r>
              <w:rPr>
                <w:b w:val="0"/>
                <w:sz w:val="18"/>
              </w:rPr>
              <w:t>Ścieżka audytu (ewaluator bez powiązań z Natanek, log niemodyfikowalny, protokół podpisują kierownicy) jest dobra. Brakuje dopisku z poz. 3.3 i rozdzielenia roli Michała Hajduka (poz. 8).</w:t>
            </w:r>
          </w:p>
        </w:tc>
      </w:tr>
      <w:tr>
        <w:tc>
          <w:tcPr>
            <w:tcW w:type="dxa" w:w="2041"/>
          </w:tcPr>
          <w:p>
            <w:r/>
            <w:r>
              <w:rPr>
                <w:b w:val="0"/>
                <w:sz w:val="18"/>
              </w:rPr>
              <w:t>K3-24 do K3-32 (ryzyka, Z10)</w:t>
            </w:r>
          </w:p>
        </w:tc>
        <w:tc>
          <w:tcPr>
            <w:tcW w:type="dxa" w:w="1247"/>
          </w:tcPr>
          <w:p>
            <w:r/>
            <w:r>
              <w:rPr>
                <w:b w:val="0"/>
                <w:sz w:val="18"/>
              </w:rPr>
              <w:t>Częściowo</w:t>
            </w:r>
          </w:p>
        </w:tc>
        <w:tc>
          <w:tcPr>
            <w:tcW w:type="dxa" w:w="6463"/>
          </w:tcPr>
          <w:p>
            <w:r/>
            <w:r>
              <w:rPr>
                <w:b w:val="0"/>
                <w:sz w:val="18"/>
              </w:rPr>
              <w:t>R1 do R5 i R9 mają wartości minimalne, liczbę iteracji, moment decyzji i skutki dla wskaźników. R10 ma sześć zagrożeń z prawdopodobieństwem. R11 i R12 są, ale nie według D47 i D48 (poz. 2). Z10 jest opisane, budżet 3.2.3 jest poza plikiem.</w:t>
            </w:r>
          </w:p>
        </w:tc>
      </w:tr>
      <w:tr>
        <w:tc>
          <w:tcPr>
            <w:tcW w:type="dxa" w:w="2041"/>
          </w:tcPr>
          <w:p>
            <w:r/>
            <w:r>
              <w:rPr>
                <w:b w:val="0"/>
                <w:sz w:val="18"/>
              </w:rPr>
              <w:t>K3-33, K3-39 (personel, anotatorzy)</w:t>
            </w:r>
          </w:p>
        </w:tc>
        <w:tc>
          <w:tcPr>
            <w:tcW w:type="dxa" w:w="1247"/>
          </w:tcPr>
          <w:p>
            <w:r/>
            <w:r>
              <w:rPr>
                <w:b w:val="0"/>
                <w:sz w:val="18"/>
              </w:rPr>
              <w:t>NIE</w:t>
            </w:r>
          </w:p>
        </w:tc>
        <w:tc>
          <w:tcPr>
            <w:tcW w:type="dxa" w:w="6463"/>
          </w:tcPr>
          <w:p>
            <w:r/>
            <w:r>
              <w:rPr>
                <w:b w:val="0"/>
                <w:sz w:val="18"/>
              </w:rPr>
              <w:t>Plik nie ma pól dla Kosterny, czterech osób PRz, kierowników, Włocha ani uzasadnienia kosztu Anotatorów. Ma tylko zbiorczą zamianę zdania w 28 polach (poz. 3).</w:t>
            </w:r>
          </w:p>
        </w:tc>
      </w:tr>
      <w:tr>
        <w:tc>
          <w:tcPr>
            <w:tcW w:type="dxa" w:w="2041"/>
          </w:tcPr>
          <w:p>
            <w:r/>
            <w:r>
              <w:rPr>
                <w:b w:val="0"/>
                <w:sz w:val="18"/>
              </w:rPr>
              <w:t>K3-34 do K3-38, K3-40 do K3-66 (stawki, amortyzacja, podwykonawcy, budżet Z10/Z11)</w:t>
            </w:r>
          </w:p>
        </w:tc>
        <w:tc>
          <w:tcPr>
            <w:tcW w:type="dxa" w:w="1247"/>
          </w:tcPr>
          <w:p>
            <w:r/>
            <w:r>
              <w:rPr>
                <w:b w:val="0"/>
                <w:sz w:val="18"/>
              </w:rPr>
              <w:t>Poza plikiem</w:t>
            </w:r>
          </w:p>
        </w:tc>
        <w:tc>
          <w:tcPr>
            <w:tcW w:type="dxa" w:w="6463"/>
          </w:tcPr>
          <w:p>
            <w:r/>
            <w:r>
              <w:rPr>
                <w:b w:val="0"/>
                <w:sz w:val="18"/>
              </w:rPr>
              <w:t>To pola kosztowe. Plik zawiera tylko drobne zamiany (poz. 5). Pozostają Sekcja_3.1_*, Sekcja_3.2_* i Sekcja_6.2-6.4_*.</w:t>
            </w:r>
          </w:p>
        </w:tc>
      </w:tr>
      <w:tr>
        <w:tc>
          <w:tcPr>
            <w:tcW w:type="dxa" w:w="2041"/>
          </w:tcPr>
          <w:p>
            <w:r/>
            <w:r>
              <w:rPr>
                <w:b w:val="0"/>
                <w:sz w:val="18"/>
              </w:rPr>
              <w:t>K5-01 do K5-19 (zespół, zasoby)</w:t>
            </w:r>
          </w:p>
        </w:tc>
        <w:tc>
          <w:tcPr>
            <w:tcW w:type="dxa" w:w="1247"/>
          </w:tcPr>
          <w:p>
            <w:r/>
            <w:r>
              <w:rPr>
                <w:b w:val="0"/>
                <w:sz w:val="18"/>
              </w:rPr>
              <w:t>Częściowo</w:t>
            </w:r>
          </w:p>
        </w:tc>
        <w:tc>
          <w:tcPr>
            <w:tcW w:type="dxa" w:w="6463"/>
          </w:tcPr>
          <w:p>
            <w:r/>
            <w:r>
              <w:rPr>
                <w:b w:val="0"/>
                <w:sz w:val="18"/>
              </w:rPr>
              <w:t>Są flota (K5-12), prawo do danych (K5-13), biuro, IT, TMS, licencje i odbiór KM (K5-05), ale z żółtymi polami (7.4). Nie ma pola dla K5-07 (poufność wobec Natanek i MJA Partners), K5-04 (inspekcje) ani K5-16 (infrastruktura PRz: EMC, fotogrametria, obliczenia).</w:t>
            </w:r>
          </w:p>
        </w:tc>
      </w:tr>
      <w:tr>
        <w:tc>
          <w:tcPr>
            <w:tcW w:type="dxa" w:w="2041"/>
          </w:tcPr>
          <w:p>
            <w:r/>
            <w:r>
              <w:rPr>
                <w:b w:val="0"/>
                <w:sz w:val="18"/>
              </w:rPr>
              <w:t>K6 (model finansowy), K7 do K9</w:t>
            </w:r>
          </w:p>
        </w:tc>
        <w:tc>
          <w:tcPr>
            <w:tcW w:type="dxa" w:w="1247"/>
          </w:tcPr>
          <w:p>
            <w:r/>
            <w:r>
              <w:rPr>
                <w:b w:val="0"/>
                <w:sz w:val="18"/>
              </w:rPr>
              <w:t>Poza plikiem</w:t>
            </w:r>
          </w:p>
        </w:tc>
        <w:tc>
          <w:tcPr>
            <w:tcW w:type="dxa" w:w="6463"/>
          </w:tcPr>
          <w:p>
            <w:r/>
            <w:r>
              <w:rPr>
                <w:b w:val="0"/>
                <w:sz w:val="18"/>
              </w:rPr>
              <w:t>Komentarze do arkuszy są w Sekcja_K6, część 9.</w:t>
            </w:r>
          </w:p>
        </w:tc>
      </w:tr>
      <w:tr>
        <w:tc>
          <w:tcPr>
            <w:tcW w:type="dxa" w:w="2041"/>
          </w:tcPr>
          <w:p>
            <w:r/>
            <w:r>
              <w:rPr>
                <w:b w:val="0"/>
                <w:sz w:val="18"/>
              </w:rPr>
              <w:t>K10 do K13 (zasady horyzontalne)</w:t>
            </w:r>
          </w:p>
        </w:tc>
        <w:tc>
          <w:tcPr>
            <w:tcW w:type="dxa" w:w="1247"/>
          </w:tcPr>
          <w:p>
            <w:r/>
            <w:r>
              <w:rPr>
                <w:b w:val="0"/>
                <w:sz w:val="18"/>
              </w:rPr>
              <w:t>Poza plikiem, zmiany niedopasowane</w:t>
            </w:r>
          </w:p>
        </w:tc>
        <w:tc>
          <w:tcPr>
            <w:tcW w:type="dxa" w:w="6463"/>
          </w:tcPr>
          <w:p>
            <w:r/>
            <w:r>
              <w:rPr>
                <w:b w:val="0"/>
                <w:sz w:val="18"/>
              </w:rPr>
              <w:t>Plik zawiera tylko poprawki o cichej notyfikacji w 7.1, 7.3 i 7.4, a ich teksty wyjściowe nie istnieją w wersji C (poz. 5).</w:t>
            </w:r>
          </w:p>
        </w:tc>
      </w:tr>
      <w:tr>
        <w:tc>
          <w:tcPr>
            <w:tcW w:type="dxa" w:w="2041"/>
          </w:tcPr>
          <w:p>
            <w:r/>
            <w:r>
              <w:rPr>
                <w:b w:val="0"/>
                <w:sz w:val="18"/>
              </w:rPr>
              <w:t>K14-01 (przychody poza RP)</w:t>
            </w:r>
          </w:p>
        </w:tc>
        <w:tc>
          <w:tcPr>
            <w:tcW w:type="dxa" w:w="1247"/>
          </w:tcPr>
          <w:p>
            <w:r/>
            <w:r>
              <w:rPr>
                <w:b w:val="0"/>
                <w:sz w:val="18"/>
              </w:rPr>
              <w:t>Poza plikiem (rozwiązana wcześniej)</w:t>
            </w:r>
          </w:p>
        </w:tc>
        <w:tc>
          <w:tcPr>
            <w:tcW w:type="dxa" w:w="6463"/>
          </w:tcPr>
          <w:p>
            <w:r/>
            <w:r>
              <w:rPr>
                <w:b w:val="0"/>
                <w:sz w:val="18"/>
              </w:rPr>
              <w:t>Decyzja D40 i Sekcja_3.2 część 6: wartość 0 zł w 2030 r. Plik LSI jest z tym spójny (3.2.1 odsyła do wskaźnika z 8.2), ale pole 8.2 trzeba jeszcze wkleić z Sekcja_3.2, bo w wersji C nadal jest 489 300 zł (poz. 11).</w:t>
            </w:r>
          </w:p>
        </w:tc>
      </w:tr>
    </w:tbl>
    <w:p/>
    <w:p>
      <w:pPr>
        <w:pStyle w:val="Heading2"/>
      </w:pPr>
      <w:r>
        <w:t>7.3 Niespójności i braki</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510"/>
          </w:tcPr>
          <w:p>
            <w:r/>
            <w:r>
              <w:rPr>
                <w:b/>
                <w:sz w:val="18"/>
              </w:rPr>
              <w:t>Poz.</w:t>
            </w:r>
          </w:p>
        </w:tc>
        <w:tc>
          <w:tcPr>
            <w:tcW w:type="dxa" w:w="794"/>
          </w:tcPr>
          <w:p>
            <w:r/>
            <w:r>
              <w:rPr>
                <w:b/>
                <w:sz w:val="18"/>
              </w:rPr>
              <w:t>Waga</w:t>
            </w:r>
          </w:p>
        </w:tc>
        <w:tc>
          <w:tcPr>
            <w:tcW w:type="dxa" w:w="2098"/>
          </w:tcPr>
          <w:p>
            <w:r/>
            <w:r>
              <w:rPr>
                <w:b/>
                <w:sz w:val="18"/>
              </w:rPr>
              <w:t>Gdzie w pliku</w:t>
            </w:r>
          </w:p>
        </w:tc>
        <w:tc>
          <w:tcPr>
            <w:tcW w:type="dxa" w:w="3231"/>
          </w:tcPr>
          <w:p>
            <w:r/>
            <w:r>
              <w:rPr>
                <w:b/>
                <w:sz w:val="18"/>
              </w:rPr>
              <w:t>Problem</w:t>
            </w:r>
          </w:p>
        </w:tc>
        <w:tc>
          <w:tcPr>
            <w:tcW w:type="dxa" w:w="3118"/>
          </w:tcPr>
          <w:p>
            <w:r/>
            <w:r>
              <w:rPr>
                <w:b/>
                <w:sz w:val="18"/>
              </w:rPr>
              <w:t>Co zrobić</w:t>
            </w:r>
          </w:p>
        </w:tc>
      </w:tr>
      <w:tr>
        <w:tc>
          <w:tcPr>
            <w:tcW w:type="dxa" w:w="510"/>
          </w:tcPr>
          <w:p>
            <w:r/>
            <w:r>
              <w:rPr>
                <w:b w:val="0"/>
                <w:sz w:val="18"/>
              </w:rPr>
              <w:t>1</w:t>
            </w:r>
          </w:p>
        </w:tc>
        <w:tc>
          <w:tcPr>
            <w:tcW w:type="dxa" w:w="794"/>
          </w:tcPr>
          <w:p>
            <w:r/>
            <w:r>
              <w:rPr>
                <w:b w:val="0"/>
                <w:sz w:val="18"/>
              </w:rPr>
              <w:t>ŚREDNIA</w:t>
            </w:r>
          </w:p>
        </w:tc>
        <w:tc>
          <w:tcPr>
            <w:tcW w:type="dxa" w:w="2098"/>
          </w:tcPr>
          <w:p>
            <w:r/>
            <w:r>
              <w:rPr>
                <w:b w:val="0"/>
                <w:sz w:val="18"/>
              </w:rPr>
              <w:t>1.3 część VI („prowadzi bieżącą współpracę”, „aktywnych kontrahentów”); 2.3 Rynek docelowy („bazę ponad 50 klientów”, „z bazy klientów”); 2.3 Plan, etap 1 („do bazy ponad 50 kontrahentów”) i Strategia („z bazy Everest11”, „konwersją z bazy klientów”); R11 plan zastępczy („aktywnych kontrahentów Everest11”)</w:t>
            </w:r>
          </w:p>
        </w:tc>
        <w:tc>
          <w:tcPr>
            <w:tcW w:type="dxa" w:w="3231"/>
          </w:tcPr>
          <w:p>
            <w:r/>
            <w:r>
              <w:rPr>
                <w:b w:val="0"/>
                <w:sz w:val="18"/>
              </w:rPr>
              <w:t>Decyzja D59: baza ponad 50 kontrahentów zostaje, ale nie są to kontrahenci aktywni (w 2025 r. 95% sprzedaży to Amazon i 5% Nara Motors, w I półroczu 2026 r. 100% Amazon). Plik pisze o „aktywnych” i o „bieżącej współpracy”, co jest nieprawdziwe. Uwaga K2-01 prosi o strukturę bazy (ilu przewoźników z pasującymi naczepami, skala flot), a plik jej nie podaje.</w:t>
            </w:r>
          </w:p>
        </w:tc>
        <w:tc>
          <w:tcPr>
            <w:tcW w:type="dxa" w:w="3118"/>
          </w:tcPr>
          <w:p>
            <w:r/>
            <w:r>
              <w:rPr>
                <w:b w:val="0"/>
                <w:sz w:val="18"/>
              </w:rPr>
              <w:t>Zostawić bazę, ale usunąć „aktywnych” i „z którymi spółka prowadzi bieżącą współpracę”, np.: „baza ponad 50 kontrahentów Everest11, z którymi spółka współpracowała, także obecnie nieaktywnych”. W Strategii „konwersją z bazy klientów” zamienić na „konwersją z kontaktów handlowych”. W R11 „spośród dotychczasowych dostawców usług transportowych”. Żeby odpowiedzieć na K2-01, potrzebny jest wyciąg z TMS: ilu z 50 to przewoźnicy z flotą 5 do 50 naczep (T55).</w:t>
            </w:r>
          </w:p>
        </w:tc>
      </w:tr>
      <w:tr>
        <w:tc>
          <w:tcPr>
            <w:tcW w:type="dxa" w:w="510"/>
          </w:tcPr>
          <w:p>
            <w:r/>
            <w:r>
              <w:rPr>
                <w:b w:val="0"/>
                <w:sz w:val="18"/>
              </w:rPr>
              <w:t>2</w:t>
            </w:r>
          </w:p>
        </w:tc>
        <w:tc>
          <w:tcPr>
            <w:tcW w:type="dxa" w:w="794"/>
          </w:tcPr>
          <w:p>
            <w:r/>
            <w:r>
              <w:rPr>
                <w:b w:val="0"/>
                <w:sz w:val="18"/>
              </w:rPr>
              <w:t>WYSOKA</w:t>
            </w:r>
          </w:p>
        </w:tc>
        <w:tc>
          <w:tcPr>
            <w:tcW w:type="dxa" w:w="2098"/>
          </w:tcPr>
          <w:p>
            <w:r/>
            <w:r>
              <w:rPr>
                <w:b w:val="0"/>
                <w:sz w:val="18"/>
              </w:rPr>
              <w:t>R11 i R12 (opis i mitygacja); Z9 akapit o niezależności</w:t>
            </w:r>
          </w:p>
        </w:tc>
        <w:tc>
          <w:tcPr>
            <w:tcW w:type="dxa" w:w="3231"/>
          </w:tcPr>
          <w:p>
            <w:r/>
            <w:r>
              <w:rPr>
                <w:b w:val="0"/>
                <w:sz w:val="18"/>
              </w:rPr>
              <w:t>Nie są zgodne z D47 i D48. R12 nie ujawnia, że Natanek Logistics to ok. 95% zakupów usług Everest11, nie ma kwartalnego raportu zależności ani alternatywnych dostawców, a mitygacja mówi, że „formalnie ustalamy, czy powiązane” (przy czym 2.3 stwierdza, że Natanek jest powiązany osobowo). R11 zawiera zdanie „żaden pojedynczy podmiot nie jest jednocześnie partnerem testowym i odbiorcą”, a Natanek jest jednocześnie partnerem testowym i sygnatariuszem listu na 20 naczep. W Z9 brakuje dopisku z pozycji 3.3.</w:t>
            </w:r>
          </w:p>
        </w:tc>
        <w:tc>
          <w:tcPr>
            <w:tcW w:type="dxa" w:w="3118"/>
          </w:tcPr>
          <w:p>
            <w:r/>
            <w:r>
              <w:rPr>
                <w:b w:val="0"/>
                <w:sz w:val="18"/>
              </w:rPr>
              <w:t>Wkleić zamiast pól R12 teksty z pozycji 3.1 i 3.2, w R11 punkt 1 tekst z 2.3, a w Z9 dopisek 3.3. W R11 zastąpić zdanie o dywersyfikacji: „Niezależność walidacji zapewnia ścieżka audytu Z9, a dywersyfikacja floty zmniejsza zależność od jednego partnera testowego, który jest też jednym z trzech operatorów z listami intencyjnymi.”</w:t>
            </w:r>
          </w:p>
        </w:tc>
      </w:tr>
      <w:tr>
        <w:tc>
          <w:tcPr>
            <w:tcW w:type="dxa" w:w="510"/>
          </w:tcPr>
          <w:p>
            <w:r/>
            <w:r>
              <w:rPr>
                <w:b w:val="0"/>
                <w:sz w:val="18"/>
              </w:rPr>
              <w:t>3</w:t>
            </w:r>
          </w:p>
        </w:tc>
        <w:tc>
          <w:tcPr>
            <w:tcW w:type="dxa" w:w="794"/>
          </w:tcPr>
          <w:p>
            <w:r/>
            <w:r>
              <w:rPr>
                <w:b w:val="0"/>
                <w:sz w:val="18"/>
              </w:rPr>
              <w:t>WYSOKA</w:t>
            </w:r>
          </w:p>
        </w:tc>
        <w:tc>
          <w:tcPr>
            <w:tcW w:type="dxa" w:w="2098"/>
          </w:tcPr>
          <w:p>
            <w:r/>
            <w:r>
              <w:rPr>
                <w:b w:val="0"/>
                <w:sz w:val="18"/>
              </w:rPr>
              <w:t>Brak pól dla K3-33 i K3-39; zbiorcza zamiana „zakres stanowiska” w 28 polach; PRz specjalista modelowania</w:t>
            </w:r>
          </w:p>
        </w:tc>
        <w:tc>
          <w:tcPr>
            <w:tcW w:type="dxa" w:w="3231"/>
          </w:tcPr>
          <w:p>
            <w:r/>
            <w:r>
              <w:rPr>
                <w:b w:val="0"/>
                <w:sz w:val="18"/>
              </w:rPr>
              <w:t>Plik nie ma uzasadnienia kosztu Anotatorów (3.4), zakresu Kosterny (5.1), czterech osób PRz (5.2), „Sposobu zarządzania” (5.3) ani Włocha (5.4). Zbiorcza zamiana mówi kategorycznie, że „osoba na tym stanowisku nie pełni w Everest11 ani w projekcie funkcji zarządczych…” dla wszystkich 28 pól, bez potwierdzenia (dotyczy m.in. Hajduka, który jest dyrektorem operacyjnym Natanek Logistics, i Kosterny, T50). Przy specjaliście modelowania PRz jest pusty nawias „[osoba lub stanowisko bez nazwiska]”: to zapewne Włoch (kierownik Zakładu), czyli rozstrzygnięcie wariantu A albo B z 5.4 nadal nie zapadło.</w:t>
            </w:r>
          </w:p>
        </w:tc>
        <w:tc>
          <w:tcPr>
            <w:tcW w:type="dxa" w:w="3118"/>
          </w:tcPr>
          <w:p>
            <w:r/>
            <w:r>
              <w:rPr>
                <w:b w:val="0"/>
                <w:sz w:val="18"/>
              </w:rPr>
              <w:t>Wkleić dodatkowo pozycje 3.4 i 5.1 do 5.4 tego dokumentu. Zbiorczą zamianę zostawić dopiero po potwierdzeniu przez Ciebie dla każdej osoby (T50). Nie wklejać pól PRz ze stawkami, dopóki nie zdecydujesz o Włochu.</w:t>
            </w:r>
          </w:p>
        </w:tc>
      </w:tr>
      <w:tr>
        <w:tc>
          <w:tcPr>
            <w:tcW w:type="dxa" w:w="510"/>
          </w:tcPr>
          <w:p>
            <w:r/>
            <w:r>
              <w:rPr>
                <w:b w:val="0"/>
                <w:sz w:val="18"/>
              </w:rPr>
              <w:t>4</w:t>
            </w:r>
          </w:p>
        </w:tc>
        <w:tc>
          <w:tcPr>
            <w:tcW w:type="dxa" w:w="794"/>
          </w:tcPr>
          <w:p>
            <w:r/>
            <w:r>
              <w:rPr>
                <w:b w:val="0"/>
                <w:sz w:val="18"/>
              </w:rPr>
              <w:t>ŚREDNIA</w:t>
            </w:r>
          </w:p>
        </w:tc>
        <w:tc>
          <w:tcPr>
            <w:tcW w:type="dxa" w:w="2098"/>
          </w:tcPr>
          <w:p>
            <w:r/>
            <w:r>
              <w:rPr>
                <w:b w:val="0"/>
                <w:sz w:val="18"/>
              </w:rPr>
              <w:t>1.3 część I, ostatnie zdanie; 2.3 Plan, etap 4 i Segmenty; 2.4 SAM; 3.2.1</w:t>
            </w:r>
          </w:p>
        </w:tc>
        <w:tc>
          <w:tcPr>
            <w:tcW w:type="dxa" w:w="3231"/>
          </w:tcPr>
          <w:p>
            <w:r/>
            <w:r>
              <w:rPr>
                <w:b w:val="0"/>
                <w:sz w:val="18"/>
              </w:rPr>
              <w:t>Zdania o CEE są sprzeczne. 1.3 mówi, że pojazdy w CEE „obniżają udział w polskim SAM poniżej 0,50%”, 2.3 mówi, że penetracja SAM w Polsce w 2034 r. wyniesie 0,50%, 2.4 zmienia SAM na „w Polsce”. Model nie rozdziela przychodów na kraje, a mój komentarz do arkusza Przychody mówi, że sprzedaż zagraniczna nie została założona, natomiast Sekcja_3.2 (część 6) i D40 mówią, że przychody poza RP wynikają z modelu od 2032-2033. 3.2.1 sugeruje, że po 2030 r. przychody zagraniczne są.</w:t>
            </w:r>
          </w:p>
        </w:tc>
        <w:tc>
          <w:tcPr>
            <w:tcW w:type="dxa" w:w="3118"/>
          </w:tcPr>
          <w:p>
            <w:r/>
            <w:r>
              <w:rPr>
                <w:b w:val="0"/>
                <w:sz w:val="18"/>
              </w:rPr>
              <w:t>Ujednolicić: „W prognozie 1 000 pojazdów w 2034 r. to sprzedaż w Polsce, czyli 0,50% SAM i 0,18% TAM; sprzedaży w CEE nie zakładamy, a ewentualne licencje API dla dostawców TMS w CEE byłyby uzupełnieniem poza prognozą.” Poprawić też zdanie w Sekcja_3.2 część 6 (poz. 11).</w:t>
            </w:r>
          </w:p>
        </w:tc>
      </w:tr>
      <w:tr>
        <w:tc>
          <w:tcPr>
            <w:tcW w:type="dxa" w:w="510"/>
          </w:tcPr>
          <w:p>
            <w:r/>
            <w:r>
              <w:rPr>
                <w:b w:val="0"/>
                <w:sz w:val="18"/>
              </w:rPr>
              <w:t>5</w:t>
            </w:r>
          </w:p>
        </w:tc>
        <w:tc>
          <w:tcPr>
            <w:tcW w:type="dxa" w:w="794"/>
          </w:tcPr>
          <w:p>
            <w:r/>
            <w:r>
              <w:rPr>
                <w:b w:val="0"/>
                <w:sz w:val="18"/>
              </w:rPr>
              <w:t>WYSOKA</w:t>
            </w:r>
          </w:p>
        </w:tc>
        <w:tc>
          <w:tcPr>
            <w:tcW w:type="dxa" w:w="2098"/>
          </w:tcPr>
          <w:p>
            <w:r/>
            <w:r>
              <w:rPr>
                <w:b w:val="0"/>
                <w:sz w:val="18"/>
              </w:rPr>
              <w:t>Część B, zamiany: 7.1 (4 pozycje), 7.3 (2), 7.4, 3.1.3 (E1 do E7, panel HMI), 3.1.2 (stawki PRz x6, IT Specialist), 2.4 reklamacja, 2.1 PLRR033</w:t>
            </w:r>
          </w:p>
        </w:tc>
        <w:tc>
          <w:tcPr>
            <w:tcW w:type="dxa" w:w="3231"/>
          </w:tcPr>
          <w:p>
            <w:r/>
            <w:r>
              <w:rPr>
                <w:b w:val="0"/>
                <w:sz w:val="18"/>
              </w:rPr>
              <w:t>Zdania w kolumnie ZNAJDŹ nie istnieją w wersji C (sprawdziłam automatycznie). Pochodzą z naszych plików Sekcja_7_zasady_horyzontalne_6R.docx, Sekcja_3.1_sprzet_i_amortyzacja.docx i Sekcja_3.1_podwykonawstwo_i_stawki_PRz.docx, których w LSI jeszcze nie ma. W C jest np. w 7.1 tylko pozycja „Platforma SaaS CargoDT”, a „alerty wielomodalne” dotyczą panelu dyspozytora. W C stawki PRz mają już link do BIP i „zał. nr 5 do Regulaminu”, a wskaźnik PLRR033 ma już rok 2031 (zmienia się tylko wartość z 489 300 zł na ok. 1 470 768 zł). W repozytorium wciąż leżą wersje tych plików z „alarmem dźwiękowym w kabinie”, więc wklejenie ich w obecnej postaci wprowadzi sprzeczność z cichą notyfikacją.</w:t>
            </w:r>
          </w:p>
        </w:tc>
        <w:tc>
          <w:tcPr>
            <w:tcW w:type="dxa" w:w="3118"/>
          </w:tcPr>
          <w:p>
            <w:r/>
            <w:r>
              <w:rPr>
                <w:b w:val="0"/>
                <w:sz w:val="18"/>
              </w:rPr>
              <w:t>Nie szukać tych zdań w LSI. Zamiast tego poprawić nasze pliki źródłowe (T52) albo wkleić odpowiednie pola w całości z nową treścią. W C sprawdzić po wklejeniu, czy nie zostały stare zdania: „Jedno uniknięte roszczenie CMR (~5 500 PLN) pokrywa ok. 15 miesięcy abonamentu”, „5 500 - 23 000 PLN”, „3 000-15 000 PLN”, „Przeszkolimy min. 2 kierowców (alerty dźwiękowe…)”.</w:t>
            </w:r>
          </w:p>
        </w:tc>
      </w:tr>
      <w:tr>
        <w:tc>
          <w:tcPr>
            <w:tcW w:type="dxa" w:w="510"/>
          </w:tcPr>
          <w:p>
            <w:r/>
            <w:r>
              <w:rPr>
                <w:b w:val="0"/>
                <w:sz w:val="18"/>
              </w:rPr>
              <w:t>6</w:t>
            </w:r>
          </w:p>
        </w:tc>
        <w:tc>
          <w:tcPr>
            <w:tcW w:type="dxa" w:w="794"/>
          </w:tcPr>
          <w:p>
            <w:r/>
            <w:r>
              <w:rPr>
                <w:b w:val="0"/>
                <w:sz w:val="18"/>
              </w:rPr>
              <w:t>ŚREDNIA</w:t>
            </w:r>
          </w:p>
        </w:tc>
        <w:tc>
          <w:tcPr>
            <w:tcW w:type="dxa" w:w="2098"/>
          </w:tcPr>
          <w:p>
            <w:r/>
            <w:r>
              <w:rPr>
                <w:b w:val="0"/>
                <w:sz w:val="18"/>
              </w:rPr>
              <w:t>R10 (mitygacja, zdanie „Brak przeniesienia nie wstrzymuje wdrożenia”) kontra 2.2, Z11 i 2.3 etap 0</w:t>
            </w:r>
          </w:p>
        </w:tc>
        <w:tc>
          <w:tcPr>
            <w:tcW w:type="dxa" w:w="3231"/>
          </w:tcPr>
          <w:p>
            <w:r/>
            <w:r>
              <w:rPr>
                <w:b w:val="0"/>
                <w:sz w:val="18"/>
              </w:rPr>
              <w:t>2.2 i Z11 mówią: „Do czasu przeniesienia Everest11 nie będzie sprzedawać produktu”, przeniesienie do 30.11.2029, sprzedaż od 01.2030. R10 mówi, że brak przeniesienia nie wstrzymuje wdrożenia. Pilotaż u klientów zaczyna się w 11.2029, czyli przed przeniesieniem. Uwaga K2-02 prosiła właśnie o jednoznaczność.</w:t>
            </w:r>
          </w:p>
        </w:tc>
        <w:tc>
          <w:tcPr>
            <w:tcW w:type="dxa" w:w="3118"/>
          </w:tcPr>
          <w:p>
            <w:r/>
            <w:r>
              <w:rPr>
                <w:b w:val="0"/>
                <w:sz w:val="18"/>
              </w:rPr>
              <w:t>Decyzja (D57): wybrać jedną wersję. Propozycja: „Do czasu przeniesienia praw Everest11 nie rozpoczyna sprzedaży; pilotaż w 11.2029 odbywa się na podstawie umowy o wykonywaniu wspólnych praw (§ 11 ust. 5). Opóźnienie przeniesienia przesuwa start sprzedaży, ale nie wstrzymuje prac B+R.” W R10 usunąć zdanie „Brak przeniesienia nie wstrzymuje wdrożenia”.</w:t>
            </w:r>
          </w:p>
        </w:tc>
      </w:tr>
      <w:tr>
        <w:tc>
          <w:tcPr>
            <w:tcW w:type="dxa" w:w="510"/>
          </w:tcPr>
          <w:p>
            <w:r/>
            <w:r>
              <w:rPr>
                <w:b w:val="0"/>
                <w:sz w:val="18"/>
              </w:rPr>
              <w:t>7</w:t>
            </w:r>
          </w:p>
        </w:tc>
        <w:tc>
          <w:tcPr>
            <w:tcW w:type="dxa" w:w="794"/>
          </w:tcPr>
          <w:p>
            <w:r/>
            <w:r>
              <w:rPr>
                <w:b w:val="0"/>
                <w:sz w:val="18"/>
              </w:rPr>
              <w:t>ŚREDNIA</w:t>
            </w:r>
          </w:p>
        </w:tc>
        <w:tc>
          <w:tcPr>
            <w:tcW w:type="dxa" w:w="2098"/>
          </w:tcPr>
          <w:p>
            <w:r/>
            <w:r>
              <w:rPr>
                <w:b w:val="0"/>
                <w:sz w:val="18"/>
              </w:rPr>
              <w:t>1.3 część IV (czterokrotnie); 2.4 reklamacja</w:t>
            </w:r>
          </w:p>
        </w:tc>
        <w:tc>
          <w:tcPr>
            <w:tcW w:type="dxa" w:w="3231"/>
          </w:tcPr>
          <w:p>
            <w:r/>
            <w:r>
              <w:rPr>
                <w:b w:val="0"/>
                <w:sz w:val="18"/>
              </w:rPr>
              <w:t>1.3 liczy „ok. czterokrotnie droższy” od monitoringu za 49 zł miesięcznie (349/49 to ok. 7,1), a 2.4 porównuje z abonamentem 87 zł w UE (349/87 to 4,0). Do tego 2.4 kończy się zdaniem, że uniknięcie jednego roszczenia rocznie pokrywa koszt systemu, a roszczenie na dolnej granicy (8 489 zł) jest niższe niż koszt pierwszego roku (11 688 zł).</w:t>
            </w:r>
          </w:p>
        </w:tc>
        <w:tc>
          <w:tcPr>
            <w:tcW w:type="dxa" w:w="3118"/>
          </w:tcPr>
          <w:p>
            <w:r/>
            <w:r>
              <w:rPr>
                <w:b w:val="0"/>
                <w:sz w:val="18"/>
              </w:rPr>
              <w:t>W 1.3 IV: „…ok. czterokrotnie droższy w abonamencie od podstawowego monitoringu w ruchu międzynarodowym (349 zł wobec 87 zł miesięcznie) i ok. siedmiokrotnie w krajowym (349 zł wobec 49 zł); zestaw 7 500 zł jest dodatkowy.” W 2.4 ostatnie zdanie: „…koszt kolejnych lat jest od niego niższy, a przy roszczeniu powyżej 11 688 zł jedno uniknięte roszczenie pokrywa także koszt pierwszego roku.”</w:t>
            </w:r>
          </w:p>
        </w:tc>
      </w:tr>
      <w:tr>
        <w:tc>
          <w:tcPr>
            <w:tcW w:type="dxa" w:w="510"/>
          </w:tcPr>
          <w:p>
            <w:r/>
            <w:r>
              <w:rPr>
                <w:b w:val="0"/>
                <w:sz w:val="18"/>
              </w:rPr>
              <w:t>8</w:t>
            </w:r>
          </w:p>
        </w:tc>
        <w:tc>
          <w:tcPr>
            <w:tcW w:type="dxa" w:w="794"/>
          </w:tcPr>
          <w:p>
            <w:r/>
            <w:r>
              <w:rPr>
                <w:b w:val="0"/>
                <w:sz w:val="18"/>
              </w:rPr>
              <w:t>ŚREDNIA</w:t>
            </w:r>
          </w:p>
        </w:tc>
        <w:tc>
          <w:tcPr>
            <w:tcW w:type="dxa" w:w="2098"/>
          </w:tcPr>
          <w:p>
            <w:r/>
            <w:r>
              <w:rPr>
                <w:b w:val="0"/>
                <w:sz w:val="18"/>
              </w:rPr>
              <w:t>Z2, Z9, 6.3 (Natanek nie ma dostępu do zbioru); brak K5-07</w:t>
            </w:r>
          </w:p>
        </w:tc>
        <w:tc>
          <w:tcPr>
            <w:tcW w:type="dxa" w:w="3231"/>
          </w:tcPr>
          <w:p>
            <w:r/>
            <w:r>
              <w:rPr>
                <w:b w:val="0"/>
                <w:sz w:val="18"/>
              </w:rPr>
              <w:t>Inspekcje ground truth prowadzi specjalista TSL Michał Hajduk, który według wniosku jest dyrektorem operacyjnym Natanek Logistics (K3-11, K5-07), a plik jednocześnie mówi, że Natanek nie ma dostępu do zbioru. Hajduk jest też osobą prowadzącą sprzedaż od 2030 r. i konsultantem taksonomii. Nie ma zdania o poufności wobec Natanek Logistics i MJA Partners.</w:t>
            </w:r>
          </w:p>
        </w:tc>
        <w:tc>
          <w:tcPr>
            <w:tcW w:type="dxa" w:w="3118"/>
          </w:tcPr>
          <w:p>
            <w:r/>
            <w:r>
              <w:rPr>
                <w:b w:val="0"/>
                <w:sz w:val="18"/>
              </w:rPr>
              <w:t>Dopisać w 6.3 przy prawie do danych: „Michał Hajduk ma dostęp do zbioru wyłącznie jako pracownik Everest11 na podstawie umowy o poufności i nie przekazuje danych Natanek Logistics ani MJA Partners; ground truth jest weryfikowane przez drugą osobę Everest11 (co najmniej 10% inspekcji).” Potwierdzić fakty u siebie (T51).</w:t>
            </w:r>
          </w:p>
        </w:tc>
      </w:tr>
      <w:tr>
        <w:tc>
          <w:tcPr>
            <w:tcW w:type="dxa" w:w="510"/>
          </w:tcPr>
          <w:p>
            <w:r/>
            <w:r>
              <w:rPr>
                <w:b w:val="0"/>
                <w:sz w:val="18"/>
              </w:rPr>
              <w:t>9</w:t>
            </w:r>
          </w:p>
        </w:tc>
        <w:tc>
          <w:tcPr>
            <w:tcW w:type="dxa" w:w="794"/>
          </w:tcPr>
          <w:p>
            <w:r/>
            <w:r>
              <w:rPr>
                <w:b w:val="0"/>
                <w:sz w:val="18"/>
              </w:rPr>
              <w:t>ŚREDNIA</w:t>
            </w:r>
          </w:p>
        </w:tc>
        <w:tc>
          <w:tcPr>
            <w:tcW w:type="dxa" w:w="2098"/>
          </w:tcPr>
          <w:p>
            <w:r/>
            <w:r>
              <w:rPr>
                <w:b w:val="0"/>
                <w:sz w:val="18"/>
              </w:rPr>
              <w:t>Z11 (termin M29) i Z9 (raport techniczny „wejściem do Z11”, brak podstawy faktycznej do zgłoszenia)</w:t>
            </w:r>
          </w:p>
        </w:tc>
        <w:tc>
          <w:tcPr>
            <w:tcW w:type="dxa" w:w="3231"/>
          </w:tcPr>
          <w:p>
            <w:r/>
            <w:r>
              <w:rPr>
                <w:b w:val="0"/>
                <w:sz w:val="18"/>
              </w:rPr>
              <w:t>Z9 kończy się w M30, a Z11 ma rezultat w M29 (04.2029) i opiera się na danych terenowych Z9. Raport Z9 nie może być wejściem do zadania, które kończy się miesiąc wcześniej.</w:t>
            </w:r>
          </w:p>
        </w:tc>
        <w:tc>
          <w:tcPr>
            <w:tcW w:type="dxa" w:w="3118"/>
          </w:tcPr>
          <w:p>
            <w:r/>
            <w:r>
              <w:rPr>
                <w:b w:val="0"/>
                <w:sz w:val="18"/>
              </w:rPr>
              <w:t>W Z9 i w Z11 zapisać, że wejściem do Z11 są wyniki Fazy B do M29 (a nie raport końcowy z M30), a okno korekt w M30 nie zmienia treści zgłoszenia. Z11: „…na podstawie wyników Z4 i Fazy B zadania Z9 (do M29)”.</w:t>
            </w:r>
          </w:p>
        </w:tc>
      </w:tr>
      <w:tr>
        <w:tc>
          <w:tcPr>
            <w:tcW w:type="dxa" w:w="510"/>
          </w:tcPr>
          <w:p>
            <w:r/>
            <w:r>
              <w:rPr>
                <w:b w:val="0"/>
                <w:sz w:val="18"/>
              </w:rPr>
              <w:t>10</w:t>
            </w:r>
          </w:p>
        </w:tc>
        <w:tc>
          <w:tcPr>
            <w:tcW w:type="dxa" w:w="794"/>
          </w:tcPr>
          <w:p>
            <w:r/>
            <w:r>
              <w:rPr>
                <w:b w:val="0"/>
                <w:sz w:val="18"/>
              </w:rPr>
              <w:t>ŚREDNIA</w:t>
            </w:r>
          </w:p>
        </w:tc>
        <w:tc>
          <w:tcPr>
            <w:tcW w:type="dxa" w:w="2098"/>
          </w:tcPr>
          <w:p>
            <w:r/>
            <w:r>
              <w:rPr>
                <w:b w:val="0"/>
                <w:sz w:val="18"/>
              </w:rPr>
              <w:t>Z8 (reanotacja klas w M22 do M26) i Z9 („reanotacje wykona PRz w Z8”)</w:t>
            </w:r>
          </w:p>
        </w:tc>
        <w:tc>
          <w:tcPr>
            <w:tcW w:type="dxa" w:w="3231"/>
          </w:tcPr>
          <w:p>
            <w:r/>
            <w:r>
              <w:rPr>
                <w:b w:val="0"/>
                <w:sz w:val="18"/>
              </w:rPr>
              <w:t>Trzej anotatorzy Z2 pracują do M18, a Z8 przewiduje ponowną anotację dotkniętych klas w M22 do M26. Nie wskazano, kto ją wykona: Z8 ma tylko „zasady reanotacji” u specjalisty ds. danych (225 godzin).</w:t>
            </w:r>
          </w:p>
        </w:tc>
        <w:tc>
          <w:tcPr>
            <w:tcW w:type="dxa" w:w="3118"/>
          </w:tcPr>
          <w:p>
            <w:r/>
            <w:r>
              <w:rPr>
                <w:b w:val="0"/>
                <w:sz w:val="18"/>
              </w:rPr>
              <w:t>W Z8 dopisać: „Reanotację wykonują specjaliści ds. danych AI/CV i danych wielomodalnych PRz w godzinach zadania Z8; zakres obejmuje wyłącznie klasy objęte zmianą kryteriów.” Sprawdzić, czy 225 i 184 godziny to wystarczą (T53).</w:t>
            </w:r>
          </w:p>
        </w:tc>
      </w:tr>
      <w:tr>
        <w:tc>
          <w:tcPr>
            <w:tcW w:type="dxa" w:w="510"/>
          </w:tcPr>
          <w:p>
            <w:r/>
            <w:r>
              <w:rPr>
                <w:b w:val="0"/>
                <w:sz w:val="18"/>
              </w:rPr>
              <w:t>11</w:t>
            </w:r>
          </w:p>
        </w:tc>
        <w:tc>
          <w:tcPr>
            <w:tcW w:type="dxa" w:w="794"/>
          </w:tcPr>
          <w:p>
            <w:r/>
            <w:r>
              <w:rPr>
                <w:b w:val="0"/>
                <w:sz w:val="18"/>
              </w:rPr>
              <w:t>ŚREDNIA</w:t>
            </w:r>
          </w:p>
        </w:tc>
        <w:tc>
          <w:tcPr>
            <w:tcW w:type="dxa" w:w="2098"/>
          </w:tcPr>
          <w:p>
            <w:r/>
            <w:r>
              <w:rPr>
                <w:b w:val="0"/>
                <w:sz w:val="18"/>
              </w:rPr>
              <w:t>3.2.1 („o czym mówi wskaźnik w sekcji 8.2”); pole 8.2 w LSI</w:t>
            </w:r>
          </w:p>
        </w:tc>
        <w:tc>
          <w:tcPr>
            <w:tcW w:type="dxa" w:w="3231"/>
          </w:tcPr>
          <w:p>
            <w:r/>
            <w:r>
              <w:rPr>
                <w:b w:val="0"/>
                <w:sz w:val="18"/>
              </w:rPr>
              <w:t>K14-01 jest rozwiązana wcześniej: D40 (zatwierdzona 02.10) i Sekcja_3.2 część 6 dają wartość 0 zł w 2030 r. (rok po zakończeniu projektu) z metodologią. Plik LSI jest z tym spójny, ale w wersji C pole 8.2 nadal ma 489 300 zł, więc trzeba je wkleić. W samej Sekcja_3.2 jest błąd: zdanie, że pierwsze przychody poza RP „wynikają z modelu od 2032-2033”, nie ma pokrycia w modelu (poz. 4).</w:t>
            </w:r>
          </w:p>
        </w:tc>
        <w:tc>
          <w:tcPr>
            <w:tcW w:type="dxa" w:w="3118"/>
          </w:tcPr>
          <w:p>
            <w:r/>
            <w:r>
              <w:rPr>
                <w:b w:val="0"/>
                <w:sz w:val="18"/>
              </w:rPr>
              <w:t>Wkleić 8.2 z Sekcja_3.2 część 6, zamieniając zdanie o modelu na: „Przychodów poza RP nie zakładamy w prognozie; ewentualne licencje API dla dostawców TMS w CEE (cel Z10, od 2032 r.) byłyby uzupełnieniem poza prognozą.” Ryzyko komentarza eksperta przy wartości 0 zostało zaakceptowane w D40.</w:t>
            </w:r>
          </w:p>
        </w:tc>
      </w:tr>
      <w:tr>
        <w:tc>
          <w:tcPr>
            <w:tcW w:type="dxa" w:w="510"/>
          </w:tcPr>
          <w:p>
            <w:r/>
            <w:r>
              <w:rPr>
                <w:b w:val="0"/>
                <w:sz w:val="18"/>
              </w:rPr>
              <w:t>12</w:t>
            </w:r>
          </w:p>
        </w:tc>
        <w:tc>
          <w:tcPr>
            <w:tcW w:type="dxa" w:w="794"/>
          </w:tcPr>
          <w:p>
            <w:r/>
            <w:r>
              <w:rPr>
                <w:b w:val="0"/>
                <w:sz w:val="18"/>
              </w:rPr>
              <w:t>NISKA</w:t>
            </w:r>
          </w:p>
        </w:tc>
        <w:tc>
          <w:tcPr>
            <w:tcW w:type="dxa" w:w="2098"/>
          </w:tcPr>
          <w:p>
            <w:r/>
            <w:r>
              <w:rPr>
                <w:b w:val="0"/>
                <w:sz w:val="18"/>
              </w:rPr>
              <w:t>Z10 i 3.2.1 kontra 3.2.3 w LSI</w:t>
            </w:r>
          </w:p>
        </w:tc>
        <w:tc>
          <w:tcPr>
            <w:tcW w:type="dxa" w:w="3231"/>
          </w:tcPr>
          <w:p>
            <w:r/>
            <w:r>
              <w:rPr>
                <w:b w:val="0"/>
                <w:sz w:val="18"/>
              </w:rPr>
              <w:t>W 3.2.3 wydarzenie nazwane „misja gospodarcza do CEE (np. Czechy/Rumunia)”, kraj Czechy, a w tekście misja do Czech w I do IV 2029. Z10 podaje 2,15% kosztów B+R wobec limitu 15% i stawkę 5 489 zł na osobę (2 osoby na kongres, 1 na misję). Wyjazd kierownika zarządzającego (koszty pośrednie) jako wydatek 5.3.3 wymaga sprawdzenia w Przewodniku.</w:t>
            </w:r>
          </w:p>
        </w:tc>
        <w:tc>
          <w:tcPr>
            <w:tcW w:type="dxa" w:w="3118"/>
          </w:tcPr>
          <w:p>
            <w:r/>
            <w:r>
              <w:rPr>
                <w:b w:val="0"/>
                <w:sz w:val="18"/>
              </w:rPr>
              <w:t>Ujednolicić nazwę wydarzenia na „misja gospodarcza do Czech” i przeliczyć 2,15% na końcowym budżecie. Sprawdzić w Przewodniku, czy podróż osoby z kosztów pośrednich może być wydatkiem 5.3.3.</w:t>
            </w:r>
          </w:p>
        </w:tc>
      </w:tr>
      <w:tr>
        <w:tc>
          <w:tcPr>
            <w:tcW w:type="dxa" w:w="510"/>
          </w:tcPr>
          <w:p>
            <w:r/>
            <w:r>
              <w:rPr>
                <w:b w:val="0"/>
                <w:sz w:val="18"/>
              </w:rPr>
              <w:t>13</w:t>
            </w:r>
          </w:p>
        </w:tc>
        <w:tc>
          <w:tcPr>
            <w:tcW w:type="dxa" w:w="794"/>
          </w:tcPr>
          <w:p>
            <w:r/>
            <w:r>
              <w:rPr>
                <w:b w:val="0"/>
                <w:sz w:val="18"/>
              </w:rPr>
              <w:t>NISKA</w:t>
            </w:r>
          </w:p>
        </w:tc>
        <w:tc>
          <w:tcPr>
            <w:tcW w:type="dxa" w:w="2098"/>
          </w:tcPr>
          <w:p>
            <w:r/>
            <w:r>
              <w:rPr>
                <w:b w:val="0"/>
                <w:sz w:val="18"/>
              </w:rPr>
              <w:t>Z1, Z3, Z5, Z7 (gwiazdki: „ToF*”, „kamery*”, „Z1*”)</w:t>
            </w:r>
          </w:p>
        </w:tc>
        <w:tc>
          <w:tcPr>
            <w:tcW w:type="dxa" w:w="3231"/>
          </w:tcPr>
          <w:p>
            <w:r/>
            <w:r>
              <w:rPr>
                <w:b w:val="0"/>
                <w:sz w:val="18"/>
              </w:rPr>
              <w:t>Gwiazdki oznaczają pola zależne od D06 (liczba i typ kamer, budżet toru 4 ToF + 4 EO, K3-55). W pliku nie ma objaśnienia, więc po wklejeniu zostaną w treści wniosku.</w:t>
            </w:r>
          </w:p>
        </w:tc>
        <w:tc>
          <w:tcPr>
            <w:tcW w:type="dxa" w:w="3118"/>
          </w:tcPr>
          <w:p>
            <w:r/>
            <w:r>
              <w:rPr>
                <w:b w:val="0"/>
                <w:sz w:val="18"/>
              </w:rPr>
              <w:t>Usunąć gwiazdki po decyzji D06 i D53 (BOM). Do tego czasu nie wklejać pól Z1, Z3, Z5, Z7.</w:t>
            </w:r>
          </w:p>
        </w:tc>
      </w:tr>
      <w:tr>
        <w:tc>
          <w:tcPr>
            <w:tcW w:type="dxa" w:w="510"/>
          </w:tcPr>
          <w:p>
            <w:r/>
            <w:r>
              <w:rPr>
                <w:b w:val="0"/>
                <w:sz w:val="18"/>
              </w:rPr>
              <w:t>14</w:t>
            </w:r>
          </w:p>
        </w:tc>
        <w:tc>
          <w:tcPr>
            <w:tcW w:type="dxa" w:w="794"/>
          </w:tcPr>
          <w:p>
            <w:r/>
            <w:r>
              <w:rPr>
                <w:b w:val="0"/>
                <w:sz w:val="18"/>
              </w:rPr>
              <w:t>NISKA</w:t>
            </w:r>
          </w:p>
        </w:tc>
        <w:tc>
          <w:tcPr>
            <w:tcW w:type="dxa" w:w="2098"/>
          </w:tcPr>
          <w:p>
            <w:r/>
            <w:r>
              <w:rPr>
                <w:b w:val="0"/>
                <w:sz w:val="18"/>
              </w:rPr>
              <w:t>KM-Z4 („R2”), Z9 („procedurą ryzyka R2”), KM-Z3 („Instrukcja dopuszcza jeden kamień”)</w:t>
            </w:r>
          </w:p>
        </w:tc>
        <w:tc>
          <w:tcPr>
            <w:tcW w:type="dxa" w:w="3231"/>
          </w:tcPr>
          <w:p>
            <w:r/>
            <w:r>
              <w:rPr>
                <w:b w:val="0"/>
                <w:sz w:val="18"/>
              </w:rPr>
              <w:t>Odwołania do ryzyka bez nazwy i do Instrukcji w tekście wniosku. Nie są błędem, ale panel może uznać je za nieczytelne.</w:t>
            </w:r>
          </w:p>
        </w:tc>
        <w:tc>
          <w:tcPr>
            <w:tcW w:type="dxa" w:w="3118"/>
          </w:tcPr>
          <w:p>
            <w:r/>
            <w:r>
              <w:rPr>
                <w:b w:val="0"/>
                <w:sz w:val="18"/>
              </w:rPr>
              <w:t>Zamienić „R2” na „ryzyko R2 (AUC-ROC)”, a zdanie o Instrukcji na „M10 jest punktem kontrolnym kamienia Z3”.</w:t>
            </w:r>
          </w:p>
        </w:tc>
      </w:tr>
      <w:tr>
        <w:tc>
          <w:tcPr>
            <w:tcW w:type="dxa" w:w="510"/>
          </w:tcPr>
          <w:p>
            <w:r/>
            <w:r>
              <w:rPr>
                <w:b w:val="0"/>
                <w:sz w:val="18"/>
              </w:rPr>
              <w:t>15</w:t>
            </w:r>
          </w:p>
        </w:tc>
        <w:tc>
          <w:tcPr>
            <w:tcW w:type="dxa" w:w="794"/>
          </w:tcPr>
          <w:p>
            <w:r/>
            <w:r>
              <w:rPr>
                <w:b w:val="0"/>
                <w:sz w:val="18"/>
              </w:rPr>
              <w:t>NISKA</w:t>
            </w:r>
          </w:p>
        </w:tc>
        <w:tc>
          <w:tcPr>
            <w:tcW w:type="dxa" w:w="2098"/>
          </w:tcPr>
          <w:p>
            <w:r/>
            <w:r>
              <w:rPr>
                <w:b w:val="0"/>
                <w:sz w:val="18"/>
              </w:rPr>
              <w:t>Nazwa pozycji budżetu „panel HMI + buzzer 100 dB” w 3.1.3</w:t>
            </w:r>
          </w:p>
        </w:tc>
        <w:tc>
          <w:tcPr>
            <w:tcW w:type="dxa" w:w="3231"/>
          </w:tcPr>
          <w:p>
            <w:r/>
            <w:r>
              <w:rPr>
                <w:b w:val="0"/>
                <w:sz w:val="18"/>
              </w:rPr>
              <w:t>Pozycja sprzętowa zostaje z buzzerem (alarm antykradzieżowy), co jest zgodne z nowym tekstem, ale nazwa pozycji w LSI nadal sugeruje alert dźwiękowy.</w:t>
            </w:r>
          </w:p>
        </w:tc>
        <w:tc>
          <w:tcPr>
            <w:tcW w:type="dxa" w:w="3118"/>
          </w:tcPr>
          <w:p>
            <w:r/>
            <w:r>
              <w:rPr>
                <w:b w:val="0"/>
                <w:sz w:val="18"/>
              </w:rPr>
              <w:t>Zostawić nazwę, bo odpowiada produktowi z oferty, a uzasadnienie wyjaśnia rolę buzzera.</w:t>
            </w:r>
          </w:p>
        </w:tc>
      </w:tr>
    </w:tbl>
    <w:p/>
    <w:p>
      <w:pPr>
        <w:pStyle w:val="Heading2"/>
      </w:pPr>
      <w:r>
        <w:t>7.4 Pola, których nie wolno wkleić przed uzupełnieniem</w:t>
      </w:r>
    </w:p>
    <w:p>
      <w:pPr>
        <w:pStyle w:val="ListBullet"/>
      </w:pPr>
      <w:r>
        <w:rPr>
          <w:b/>
        </w:rPr>
        <w:t>Oznaczone w pliku „NIE WKLEJAĆ PRZED USUNIĘCIEM KOMENTARZY”:</w:t>
      </w:r>
      <w:r>
        <w:rPr>
          <w:b w:val="0"/>
        </w:rPr>
        <w:t xml:space="preserve"> 2.3 Plan wprowadzenia na rynek; R10 mitygacja; 6.2 Biuro (nazwa), Flota testowa (nazwa i przeznaczenie), nowy wiersz sposobu montażu (przeznaczenie), Wyposażenie IT (nazwa); 6.3 TMS i API (nazwa), nowy wiersz podstawy prawnej danych (nazwa), Licencje oprogramowania (nazwa); 3.1.2 AI Lead Z2, IT Specialist Z6, pięć pozycji stawek PRz i trzy stanowiska na zlecenie; 6.1 Kordos i Chrzanowski.</w:t>
      </w:r>
    </w:p>
    <w:p>
      <w:pPr>
        <w:pStyle w:val="ListBullet"/>
      </w:pPr>
      <w:r>
        <w:rPr>
          <w:b/>
        </w:rPr>
        <w:t>Żółte luki do uzupełnienia przez Ciebie:</w:t>
      </w:r>
      <w:r>
        <w:rPr>
          <w:b w:val="0"/>
        </w:rPr>
        <w:t xml:space="preserve"> </w:t>
      </w:r>
      <w:r>
        <w:rPr>
          <w:b w:val="0"/>
          <w:highlight w:val="yellow"/>
        </w:rPr>
        <w:t>liczba stanowisk pracy w biurze</w:t>
      </w:r>
      <w:r>
        <w:rPr>
          <w:b w:val="0"/>
        </w:rPr>
        <w:t xml:space="preserve">; </w:t>
      </w:r>
      <w:r>
        <w:rPr>
          <w:b w:val="0"/>
          <w:highlight w:val="yellow"/>
        </w:rPr>
        <w:t>typ naczep floty testowej</w:t>
      </w:r>
      <w:r>
        <w:rPr>
          <w:b w:val="0"/>
        </w:rPr>
        <w:t xml:space="preserve">; </w:t>
      </w:r>
      <w:r>
        <w:rPr>
          <w:b w:val="0"/>
          <w:highlight w:val="yellow"/>
        </w:rPr>
        <w:t>liczba stanowisk komputerowych i kto je zapewnia</w:t>
      </w:r>
      <w:r>
        <w:rPr>
          <w:b w:val="0"/>
        </w:rPr>
        <w:t xml:space="preserve">; </w:t>
      </w:r>
      <w:r>
        <w:rPr>
          <w:b w:val="0"/>
          <w:highlight w:val="yellow"/>
        </w:rPr>
        <w:t>nazwy narzędzi, własne lub wynajęte</w:t>
      </w:r>
      <w:r>
        <w:rPr>
          <w:b w:val="0"/>
        </w:rPr>
        <w:t xml:space="preserve">; </w:t>
      </w:r>
      <w:r>
        <w:rPr>
          <w:b w:val="0"/>
          <w:highlight w:val="yellow"/>
        </w:rPr>
        <w:t>podstawa praw do TMS i API: wytworzenie przez pracowników albo umowa przeniesienia (K5-18)</w:t>
      </w:r>
      <w:r>
        <w:rPr>
          <w:b w:val="0"/>
        </w:rPr>
        <w:t xml:space="preserve">; </w:t>
      </w:r>
      <w:r>
        <w:rPr>
          <w:b w:val="0"/>
          <w:highlight w:val="yellow"/>
        </w:rPr>
        <w:t>wykaz licencji komercyjnych</w:t>
      </w:r>
      <w:r>
        <w:rPr>
          <w:b w:val="0"/>
        </w:rPr>
        <w:t xml:space="preserve">; </w:t>
      </w:r>
      <w:r>
        <w:rPr>
          <w:b w:val="0"/>
          <w:highlight w:val="yellow"/>
        </w:rPr>
        <w:t>liczba % czynności integracyjnych IT Specialist w Z6 (T49; w C jest ok. 25%)</w:t>
      </w:r>
      <w:r>
        <w:rPr>
          <w:b w:val="0"/>
        </w:rPr>
        <w:t xml:space="preserve">; </w:t>
      </w:r>
      <w:r>
        <w:rPr>
          <w:b w:val="0"/>
          <w:highlight w:val="yellow"/>
        </w:rPr>
        <w:t>stanowisko uczelniane i stawka z Regulaminu PRz dla każdej z 5 pozycji i dla zleceń</w:t>
      </w:r>
      <w:r>
        <w:rPr>
          <w:b w:val="0"/>
        </w:rPr>
        <w:t xml:space="preserve">; </w:t>
      </w:r>
      <w:r>
        <w:rPr>
          <w:b w:val="0"/>
          <w:highlight w:val="yellow"/>
        </w:rPr>
        <w:t>osoba na stanowisku modelowania PRz</w:t>
      </w:r>
      <w:r>
        <w:rPr>
          <w:b w:val="0"/>
        </w:rPr>
        <w:t xml:space="preserve">; </w:t>
      </w:r>
      <w:r>
        <w:rPr>
          <w:b w:val="0"/>
          <w:highlight w:val="yellow"/>
        </w:rPr>
        <w:t>godziny Kordosa w PILC</w:t>
      </w:r>
      <w:r>
        <w:rPr>
          <w:b w:val="0"/>
        </w:rPr>
        <w:t xml:space="preserve">; </w:t>
      </w:r>
      <w:r>
        <w:rPr>
          <w:b w:val="0"/>
          <w:highlight w:val="yellow"/>
        </w:rPr>
        <w:t>potwierdzenie braku innych aktywności Chrzanowskiego</w:t>
      </w:r>
      <w:r>
        <w:rPr>
          <w:b w:val="0"/>
        </w:rPr>
        <w:t xml:space="preserve">; budżet sprzedaży i marketingu w 2.3 (etap 2): </w:t>
      </w:r>
      <w:r>
        <w:rPr>
          <w:b/>
        </w:rPr>
        <w:t>x = 353 tys. zł (2030), y = 1 147 tys. zł (2034)</w:t>
      </w:r>
      <w:r>
        <w:rPr>
          <w:b w:val="0"/>
        </w:rPr>
        <w:t>, czyli „Zespół komercjalizacji – współpraca B2B” plus „Marketing i sprzedaż” z arkusza Koszty operacyjne (345,6 + 7,3 oraz 1 036,8 + 110,2), do potwierdzenia po ewentualnej zmianie modelu.</w:t>
      </w:r>
    </w:p>
    <w:p>
      <w:pPr>
        <w:pStyle w:val="ListBullet"/>
      </w:pPr>
      <w:r>
        <w:rPr>
          <w:b/>
        </w:rPr>
        <w:t>Fakty do potwierdzenia przez Ciebie, bo nie mam na nie dokumentów:</w:t>
      </w:r>
      <w:r>
        <w:rPr>
          <w:b w:val="0"/>
        </w:rPr>
        <w:t xml:space="preserve"> umowa partnerska z Natanek Logistics „od marca 2025 r.” i prawo do danych, liczba 5 ciągników z naczepami i 3 pojazdy w Z2 i Z9, ok. 60 m2 biura, kody PKD 62.10.B i 63.10.D oraz termin wniosku o zmianę wpisu do 31.03.2027 (zweryfikować w rozporządzeniu o PKD 2025), udział „doświadczenie operacyjne” w decyzjach zakupowych (2 do 4 tygodni), rozmowy z co najmniej jednym ubezpieczycielem cargo, kurs NBP 5,0954 z 04.09.2026, patent Delphi/Aptiv „wygasa w 2027 r.”.</w:t>
      </w:r>
    </w:p>
    <w:p>
      <w:pPr>
        <w:pStyle w:val="Heading2"/>
      </w:pPr>
      <w:r>
        <w:t>7.5 Kolejność wklejania</w:t>
      </w:r>
    </w:p>
    <w:p>
      <w:pPr>
        <w:pStyle w:val="ListBullet"/>
      </w:pPr>
      <w:r>
        <w:rPr>
          <w:b/>
        </w:rPr>
        <w:t>Najpierw poprawki z pozycji 1 do 4 i 6 do 11 powyżej</w:t>
      </w:r>
      <w:r>
        <w:rPr>
          <w:b w:val="0"/>
        </w:rPr>
        <w:t>, potem wklejanie pól A (wskaźniki, 1.3, 1.4, 2.2, 2.3, zadania, ryzyka, zasoby).</w:t>
      </w:r>
    </w:p>
    <w:p>
      <w:pPr>
        <w:pStyle w:val="ListBullet"/>
      </w:pPr>
      <w:r>
        <w:rPr>
          <w:b/>
        </w:rPr>
        <w:t>Pola, które można wkleić po drobnych poprawkach:</w:t>
      </w:r>
      <w:r>
        <w:rPr>
          <w:b w:val="0"/>
        </w:rPr>
        <w:t xml:space="preserve"> 1.2 (W1 do W5 i zmiany 1 do 9), 1.4 (I1, I2 i usunięcie dwóch wskaźników), 2.1, 2.2 (wszystkie trzy pola), Z4, Z6, Z8, R1 do R5, R8, R9; Z2 po poz. 8 i 10, Z9 po dopisku 3.3 i poz. 9.</w:t>
      </w:r>
    </w:p>
    <w:p>
      <w:pPr>
        <w:pStyle w:val="ListBullet"/>
      </w:pPr>
      <w:r>
        <w:rPr>
          <w:b/>
        </w:rPr>
        <w:t>Pola, które czekają na Twoje decyzje:</w:t>
      </w:r>
      <w:r>
        <w:rPr>
          <w:b w:val="0"/>
        </w:rPr>
        <w:t xml:space="preserve"> Z1, Z3, Z5, Z7 (gwiazdki, D06), R10 (poz. 6), R11 i R12 (poz. 2), 1.3 część VI i 2.3 (poz. 1 i 4), 3.2.1 (poz. 11), 6.1 i 3.1.2 (poz. 3).</w:t>
      </w:r>
    </w:p>
    <w:p>
      <w:pPr>
        <w:pStyle w:val="Heading1"/>
      </w:pPr>
      <w:r>
        <w:t>8. Jak powinny wyglądać R11, R12 i budżet Z10 (propozycja docelowa)</w:t>
      </w:r>
    </w:p>
    <w:p>
      <w:r>
        <w:rPr>
          <w:b w:val="0"/>
        </w:rPr>
        <w:t xml:space="preserve">Odpowiedź na pytanie, jak mają wyglądać pola, które w części 7 oceniłam jako „są, ale nie według D47 i D48” (R11, R12) albo „poza plikiem” (budżet 3.2.3). </w:t>
      </w:r>
      <w:r>
        <w:rPr>
          <w:b/>
        </w:rPr>
        <w:t>R1 do R5, R9 i R10 z pliku LSI zostawiamy bez zmian</w:t>
      </w:r>
      <w:r>
        <w:rPr>
          <w:b w:val="0"/>
        </w:rPr>
        <w:t>: mają wartości minimalne, liczbę iteracji, moment decyzji i skutki dla wskaźników, a R10 sześć zagrożeń z prawdopodobieństwem, więc odpowiadają na K3-25 do K3-30.</w:t>
      </w:r>
    </w:p>
    <w:p>
      <w:pPr>
        <w:pStyle w:val="Heading2"/>
      </w:pPr>
      <w:r>
        <w:t>8.1 R11, pole „Opis ryzyka” (limit 2000)</w:t>
      </w:r>
    </w:p>
    <w:p>
      <w:pPr>
        <w:keepNext/>
        <w:spacing w:before="160" w:after="40"/>
      </w:pPr>
      <w:r>
        <w:rPr>
          <w:b/>
          <w:sz w:val="20"/>
        </w:rPr>
        <w:t>R11 › Opis ryzyka</w:t>
      </w:r>
      <w:r>
        <w:rPr>
          <w:color w:val="666666"/>
          <w:sz w:val="17"/>
        </w:rPr>
        <w:t xml:space="preserve"> [1163 znaków]</w:t>
      </w:r>
    </w:p>
    <w:p>
      <w:pPr>
        <w:spacing w:after="60"/>
      </w:pPr>
      <w:r>
        <w:rPr>
          <w:b w:val="0"/>
        </w:rPr>
        <w:t>Ryzyko dotyczy zadań Z2 (akwizycja) i Z9 (walidacja terenowa). Montaż i dane z obu zadań zależą od dostępu do co najmniej 3 pojazdów partnera testowego, Natanek Logistics, na podstawie umowy partnerskiej. Natanek Logistics jest jednocześnie głównym dostawcą usług transportowych Everest11 (ok. 95% zakupów usług), podmiotem powiązanym z przyszłym Inwestorem i jednym z trzech operatorów, którzy podpisali listy intencyjne (20 z 50 naczep), więc utrata albo ograniczenie dostępu może wynikać nie tylko z przyczyn technicznych, ale też ze zmiany relacji biznesowej. Zagrożeniem jest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walidacji terenowej w zadaniu Z9 (co najmniej 180 kursów), KPI oraz kamieni milowych KM-Z2 i KM-Z9, z opóźnieniem o czas pozyskania nowego partnera i montażu, około 6-10 tygodni. Skala zależności od Natanek Logistics jest opisana w ryzyku R12.</w:t>
      </w:r>
    </w:p>
    <w:p>
      <w:pPr>
        <w:pStyle w:val="Heading2"/>
      </w:pPr>
      <w:r>
        <w:t>8.2 R11, pole „Sposoby zapobiegania i minimalizacji skutków” (limit 2000)</w:t>
      </w:r>
    </w:p>
    <w:p>
      <w:pPr>
        <w:keepNext/>
        <w:spacing w:before="160" w:after="40"/>
      </w:pPr>
      <w:r>
        <w:rPr>
          <w:b/>
          <w:sz w:val="20"/>
        </w:rPr>
        <w:t>R11 › Sposoby zapobiegania i minimalizacji skutków</w:t>
      </w:r>
      <w:r>
        <w:rPr>
          <w:color w:val="666666"/>
          <w:sz w:val="17"/>
        </w:rPr>
        <w:t xml:space="preserve"> [1167 znaków]</w:t>
      </w:r>
    </w:p>
    <w:p>
      <w:pPr>
        <w:spacing w:after="60"/>
      </w:pPr>
      <w:r>
        <w:rPr>
          <w:b w:val="0"/>
        </w:rPr>
        <w:t>Plan zastępczy składa się z trzech elementów. Pierwszym jest umowa partnerska z drugim przewoźnikiem spośród dotychczasowych dostawców usług transportowych Everest11, przygotowywana warunkowo przed M13 (start kampanii) i uruchamiana, gdy dostępność floty spadnie poniżej 3 pojazdów lub 2 tras. Drugim jest metodyka anotacji i taksonomia niezależne od źródła pojazdów, więc zmiana floty nie wymaga powtórzenia anotacji. Trzecim są gwarancje dostępu do danych o ładunkach, tras i dokumentacji inspekcyjnej w umowach. Niezależność walidacji nie zależy od partnera testowego: zabezpiecza ją ścieżka audytu z zadania Z9 (ewaluator bez powiązań z Natanek Logistics, log niemodyfikowalny, zamrożony skrypt, protokół podpisują kierownicy), a Natanek Logistics nie ma dostępu do zbioru, modeli ani wyników walidacji. Dywersyfikacja floty zmniejsza zależność od jednego partnera. Skutki ograniczamy tak: przesuwamy kampanię w ramach rezerwy czasowej zadania Z2 (przed M18) i wydłużamy Fazę A zadania Z9. Jeżeli do M22 nie ma floty zastępczej, ograniczamy walidację w zadaniu Z9 do liczby kursów osiągalnej na dostępnych pojazdach i aktualizujemy KM-Z9 w trybie zmiany projektu.</w:t>
      </w:r>
    </w:p>
    <w:p>
      <w:pPr>
        <w:pStyle w:val="ListBullet"/>
      </w:pPr>
      <w:r>
        <w:rPr>
          <w:b/>
        </w:rPr>
        <w:t>Co się zmieniło względem pliku LSI:</w:t>
      </w:r>
      <w:r>
        <w:rPr>
          <w:b w:val="0"/>
        </w:rPr>
        <w:t xml:space="preserve"> dopisane powiązanie i skala zależności (D47), usunięte zdanie „spośród aktywnych kontrahentów Everest11” (D48: jedyny aktywny odbiorca to Amazon), usunięte nieprawdziwe zdanie, że żaden podmiot nie jest jednocześnie partnerem testowym i odbiorcą, dodane odesłanie do R12 i do ścieżki audytu.</w:t>
      </w:r>
    </w:p>
    <w:p>
      <w:pPr>
        <w:pStyle w:val="ListBullet"/>
      </w:pPr>
      <w:r>
        <w:rPr>
          <w:b/>
        </w:rPr>
        <w:t>Do potwierdzenia:</w:t>
      </w:r>
      <w:r>
        <w:rPr>
          <w:b w:val="0"/>
        </w:rPr>
        <w:t xml:space="preserve"> wcześniejsza wersja z pliku Opisy_zadan miała czwarty element planu zastępczego: pojazdy w najmie Everest11 (5 zestawów, wzrost do 20) jako rezerwa do montażu. Plik LSI go pomija, a w 6.2 flota testowa jest opisana jako udostępniona przez Natanek Logistics. Jeżeli aneks do umów najmu (T02) powstaje, dopisać ten element po „Trzecim”; jeżeli nie, zostawić trzy.</w:t>
      </w:r>
    </w:p>
    <w:p>
      <w:pPr>
        <w:pStyle w:val="Heading2"/>
      </w:pPr>
      <w:r>
        <w:t>8.3 R12: teksty ze „Zmiany” 3.1 i 3.2 plus po jednym zdaniu z pliku LSI</w:t>
      </w:r>
    </w:p>
    <w:p>
      <w:pPr>
        <w:pStyle w:val="ListBullet"/>
      </w:pPr>
      <w:r>
        <w:rPr>
          <w:b/>
        </w:rPr>
        <w:t>Opis ryzyka:</w:t>
      </w:r>
      <w:r>
        <w:rPr>
          <w:b w:val="0"/>
        </w:rPr>
        <w:t xml:space="preserve"> wkleić tekst z pozycji 3.1 (1183 znaków) i dopisać na końcu: „Dwaj pozostali operatorzy z listami intencyjnymi (30 naczep) nie są powiązani z Inwestorem ani z Everest11, co ogranicza skalę zależności po stronie przychodów.” Razem ok. 1 350 znaków.</w:t>
      </w:r>
    </w:p>
    <w:p>
      <w:pPr>
        <w:pStyle w:val="ListBullet"/>
      </w:pPr>
      <w:r>
        <w:rPr>
          <w:b/>
        </w:rPr>
        <w:t>Sposoby zapobiegania:</w:t>
      </w:r>
      <w:r>
        <w:rPr>
          <w:b w:val="0"/>
        </w:rPr>
        <w:t xml:space="preserve"> wkleić tekst z pozycji 3.2 (1332 znaków) i dopisać na końcu: „CargoDT sprzedajemy Natanek Logistics według tego samego cennika, co pozostałym klientom, bez rabatów indywidualnych.” Razem ok. 1 450 znaków.</w:t>
      </w:r>
    </w:p>
    <w:p>
      <w:pPr>
        <w:pStyle w:val="ListBullet"/>
      </w:pPr>
      <w:r>
        <w:rPr>
          <w:b/>
        </w:rPr>
        <w:t>Powód:</w:t>
      </w:r>
      <w:r>
        <w:rPr>
          <w:b w:val="0"/>
        </w:rPr>
        <w:t xml:space="preserve"> teksty z pozycji 3.1 i 3.2 mają ujawnioną skalę (ok. 13,4 mln zł w 2025 r. i ok. 8,4 mln zł w I półroczu 2026 r.), kwartalny raport udziału, alternatywnych dostawców i niezależność walidacji przez ścieżkę audytu. Plik LSI tego nie ma, ale ma dwa dobre zdania (pozostali operatorzy niepowiązani, jeden cennik), których nie ma w „Zmiany”. W wersji LSI zdanie „formalnie ustalamy, czy powiązane” zostaje, bo jest w 3.2, i nie przeczy 2.3, jeżeli w 2.3 napiszemy „powiązany z przyszłym Inwestorem” (bez słowa „osobowo”, które sugeruje przesądzone powiązanie w rozumieniu CIT).</w:t>
      </w:r>
    </w:p>
    <w:p>
      <w:pPr>
        <w:pStyle w:val="Heading2"/>
      </w:pPr>
      <w:r>
        <w:t>8.4 Budżet Z10 i Z11: pkt 3.2.3 i 3.2.5</w:t>
      </w:r>
    </w:p>
    <w:p>
      <w:r>
        <w:rPr>
          <w:b w:val="0"/>
        </w:rPr>
        <w:t xml:space="preserve">Pozycje są gotowe w pliku Sekcja_3.2_internacjonalizacja_Z10_Z11.docx (część 4 i 5) i </w:t>
      </w:r>
      <w:r>
        <w:rPr>
          <w:b/>
        </w:rPr>
        <w:t>zastępują wszystkie dotychczasowe pozycje internacjonalizacji w wersji C</w:t>
      </w:r>
      <w:r>
        <w:rPr>
          <w:b w:val="0"/>
        </w:rPr>
        <w:t xml:space="preserve"> (tam są m.in. pakiet kongresu 24 000 zł, delegacje 7 586 zł liczone jako koszty rzeczywiste oraz materiały promocyjne 6 000 zł jako doradztwo art. 18, a brak odrębnej pozycji na misję, czyli dokładnie to, co krytykują K3-24, K3-63 do K3-65). Docelowo:</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680"/>
          </w:tcPr>
          <w:p>
            <w:r/>
            <w:r>
              <w:rPr>
                <w:b/>
                <w:sz w:val="18"/>
              </w:rPr>
              <w:t>Poz.</w:t>
            </w:r>
          </w:p>
        </w:tc>
        <w:tc>
          <w:tcPr>
            <w:tcW w:type="dxa" w:w="3969"/>
          </w:tcPr>
          <w:p>
            <w:r/>
            <w:r>
              <w:rPr>
                <w:b/>
                <w:sz w:val="18"/>
              </w:rPr>
              <w:t>Pozycja</w:t>
            </w:r>
          </w:p>
        </w:tc>
        <w:tc>
          <w:tcPr>
            <w:tcW w:type="dxa" w:w="794"/>
          </w:tcPr>
          <w:p>
            <w:r/>
            <w:r>
              <w:rPr>
                <w:b/>
                <w:sz w:val="18"/>
              </w:rPr>
              <w:t>Gdzie</w:t>
            </w:r>
          </w:p>
        </w:tc>
        <w:tc>
          <w:tcPr>
            <w:tcW w:type="dxa" w:w="1928"/>
          </w:tcPr>
          <w:p>
            <w:r/>
            <w:r>
              <w:rPr>
                <w:b/>
                <w:sz w:val="18"/>
              </w:rPr>
              <w:t>Kwalifikowalne netto, zł</w:t>
            </w:r>
          </w:p>
        </w:tc>
        <w:tc>
          <w:tcPr>
            <w:tcW w:type="dxa" w:w="2381"/>
          </w:tcPr>
          <w:p>
            <w:r/>
            <w:r>
              <w:rPr>
                <w:b/>
                <w:sz w:val="18"/>
              </w:rPr>
              <w:t>Pomoc i kategoria</w:t>
            </w:r>
          </w:p>
        </w:tc>
      </w:tr>
      <w:tr>
        <w:tc>
          <w:tcPr>
            <w:tcW w:type="dxa" w:w="680"/>
          </w:tcPr>
          <w:p>
            <w:r/>
            <w:r>
              <w:rPr>
                <w:b w:val="0"/>
                <w:sz w:val="18"/>
              </w:rPr>
              <w:t>10-1</w:t>
            </w:r>
          </w:p>
        </w:tc>
        <w:tc>
          <w:tcPr>
            <w:tcW w:type="dxa" w:w="3969"/>
          </w:tcPr>
          <w:p>
            <w:r/>
            <w:r>
              <w:rPr>
                <w:b w:val="0"/>
                <w:sz w:val="18"/>
              </w:rPr>
              <w:t>Opłata za powierzchnię stoiska i opłata podstawowa, TRANSLOG 2028 (9 m2, 2 delegatów)</w:t>
            </w:r>
          </w:p>
        </w:tc>
        <w:tc>
          <w:tcPr>
            <w:tcW w:type="dxa" w:w="794"/>
          </w:tcPr>
          <w:p>
            <w:r/>
            <w:r>
              <w:rPr>
                <w:b w:val="0"/>
                <w:sz w:val="18"/>
              </w:rPr>
              <w:t>3.2.3</w:t>
            </w:r>
          </w:p>
        </w:tc>
        <w:tc>
          <w:tcPr>
            <w:tcW w:type="dxa" w:w="1928"/>
          </w:tcPr>
          <w:p>
            <w:r/>
            <w:r>
              <w:rPr>
                <w:b w:val="0"/>
                <w:sz w:val="18"/>
              </w:rPr>
              <w:t>13 735,00</w:t>
            </w:r>
          </w:p>
        </w:tc>
        <w:tc>
          <w:tcPr>
            <w:tcW w:type="dxa" w:w="2381"/>
          </w:tcPr>
          <w:p>
            <w:r/>
            <w:r>
              <w:rPr>
                <w:b w:val="0"/>
                <w:sz w:val="18"/>
              </w:rPr>
              <w:t>de minimis, 5.3.8</w:t>
            </w:r>
          </w:p>
        </w:tc>
      </w:tr>
      <w:tr>
        <w:tc>
          <w:tcPr>
            <w:tcW w:type="dxa" w:w="680"/>
          </w:tcPr>
          <w:p>
            <w:r/>
            <w:r>
              <w:rPr>
                <w:b w:val="0"/>
                <w:sz w:val="18"/>
              </w:rPr>
              <w:t>10-2</w:t>
            </w:r>
          </w:p>
        </w:tc>
        <w:tc>
          <w:tcPr>
            <w:tcW w:type="dxa" w:w="3969"/>
          </w:tcPr>
          <w:p>
            <w:r/>
            <w:r>
              <w:rPr>
                <w:b w:val="0"/>
                <w:sz w:val="18"/>
              </w:rPr>
              <w:t>Energia, zabudowa i meble stoiska</w:t>
            </w:r>
          </w:p>
        </w:tc>
        <w:tc>
          <w:tcPr>
            <w:tcW w:type="dxa" w:w="794"/>
          </w:tcPr>
          <w:p>
            <w:r/>
            <w:r>
              <w:rPr>
                <w:b w:val="0"/>
                <w:sz w:val="18"/>
              </w:rPr>
              <w:t>3.2.3</w:t>
            </w:r>
          </w:p>
        </w:tc>
        <w:tc>
          <w:tcPr>
            <w:tcW w:type="dxa" w:w="1928"/>
          </w:tcPr>
          <w:p>
            <w:r/>
            <w:r>
              <w:rPr>
                <w:b w:val="0"/>
                <w:sz w:val="18"/>
              </w:rPr>
              <w:t>10 184,00</w:t>
            </w:r>
          </w:p>
        </w:tc>
        <w:tc>
          <w:tcPr>
            <w:tcW w:type="dxa" w:w="2381"/>
          </w:tcPr>
          <w:p>
            <w:r/>
            <w:r>
              <w:rPr>
                <w:b w:val="0"/>
                <w:sz w:val="18"/>
              </w:rPr>
              <w:t>art. 19 GBER, 5.3.2</w:t>
            </w:r>
          </w:p>
        </w:tc>
      </w:tr>
      <w:tr>
        <w:tc>
          <w:tcPr>
            <w:tcW w:type="dxa" w:w="680"/>
          </w:tcPr>
          <w:p>
            <w:r/>
            <w:r>
              <w:rPr>
                <w:b w:val="0"/>
                <w:sz w:val="18"/>
              </w:rPr>
              <w:t>10-3</w:t>
            </w:r>
          </w:p>
        </w:tc>
        <w:tc>
          <w:tcPr>
            <w:tcW w:type="dxa" w:w="3969"/>
          </w:tcPr>
          <w:p>
            <w:r/>
            <w:r>
              <w:rPr>
                <w:b w:val="0"/>
                <w:sz w:val="18"/>
              </w:rPr>
              <w:t>Zabudowa wizualna stoiska (projekt i baner z wizualizacją CargoDT)</w:t>
            </w:r>
          </w:p>
        </w:tc>
        <w:tc>
          <w:tcPr>
            <w:tcW w:type="dxa" w:w="794"/>
          </w:tcPr>
          <w:p>
            <w:r/>
            <w:r>
              <w:rPr>
                <w:b w:val="0"/>
                <w:sz w:val="18"/>
              </w:rPr>
              <w:t>3.2.3</w:t>
            </w:r>
          </w:p>
        </w:tc>
        <w:tc>
          <w:tcPr>
            <w:tcW w:type="dxa" w:w="1928"/>
          </w:tcPr>
          <w:p>
            <w:r/>
            <w:r>
              <w:rPr>
                <w:b w:val="0"/>
                <w:sz w:val="18"/>
              </w:rPr>
              <w:t>1 200,00</w:t>
            </w:r>
          </w:p>
        </w:tc>
        <w:tc>
          <w:tcPr>
            <w:tcW w:type="dxa" w:w="2381"/>
          </w:tcPr>
          <w:p>
            <w:r/>
            <w:r>
              <w:rPr>
                <w:b w:val="0"/>
                <w:sz w:val="18"/>
              </w:rPr>
              <w:t>art. 19 GBER, 5.3.1</w:t>
            </w:r>
          </w:p>
        </w:tc>
      </w:tr>
      <w:tr>
        <w:tc>
          <w:tcPr>
            <w:tcW w:type="dxa" w:w="680"/>
          </w:tcPr>
          <w:p>
            <w:r/>
            <w:r>
              <w:rPr>
                <w:b w:val="0"/>
                <w:sz w:val="18"/>
              </w:rPr>
              <w:t>10-6</w:t>
            </w:r>
          </w:p>
        </w:tc>
        <w:tc>
          <w:tcPr>
            <w:tcW w:type="dxa" w:w="3969"/>
          </w:tcPr>
          <w:p>
            <w:r/>
            <w:r>
              <w:rPr>
                <w:b w:val="0"/>
                <w:sz w:val="18"/>
              </w:rPr>
              <w:t>Usługi doradcze: rynki CEE, model partnerstw i licencji API (14 dni x 8 h x 125 zł)</w:t>
            </w:r>
          </w:p>
        </w:tc>
        <w:tc>
          <w:tcPr>
            <w:tcW w:type="dxa" w:w="794"/>
          </w:tcPr>
          <w:p>
            <w:r/>
            <w:r>
              <w:rPr>
                <w:b w:val="0"/>
                <w:sz w:val="18"/>
              </w:rPr>
              <w:t>3.2.3</w:t>
            </w:r>
          </w:p>
        </w:tc>
        <w:tc>
          <w:tcPr>
            <w:tcW w:type="dxa" w:w="1928"/>
          </w:tcPr>
          <w:p>
            <w:r/>
            <w:r>
              <w:rPr>
                <w:b w:val="0"/>
                <w:sz w:val="18"/>
              </w:rPr>
              <w:t>14 000,00</w:t>
            </w:r>
          </w:p>
        </w:tc>
        <w:tc>
          <w:tcPr>
            <w:tcW w:type="dxa" w:w="2381"/>
          </w:tcPr>
          <w:p>
            <w:r/>
            <w:r>
              <w:rPr>
                <w:b w:val="0"/>
                <w:sz w:val="18"/>
              </w:rPr>
              <w:t>art. 18 GBER, 5.3.7</w:t>
            </w:r>
          </w:p>
        </w:tc>
      </w:tr>
      <w:tr>
        <w:tc>
          <w:tcPr>
            <w:tcW w:type="dxa" w:w="680"/>
          </w:tcPr>
          <w:p>
            <w:r/>
            <w:r>
              <w:rPr>
                <w:b w:val="0"/>
                <w:sz w:val="18"/>
              </w:rPr>
              <w:t>11-1</w:t>
            </w:r>
          </w:p>
        </w:tc>
        <w:tc>
          <w:tcPr>
            <w:tcW w:type="dxa" w:w="3969"/>
          </w:tcPr>
          <w:p>
            <w:r/>
            <w:r>
              <w:rPr>
                <w:b w:val="0"/>
                <w:sz w:val="18"/>
              </w:rPr>
              <w:t>Wstępne orzeczenie rzecznika o zdolności patentowej</w:t>
            </w:r>
          </w:p>
        </w:tc>
        <w:tc>
          <w:tcPr>
            <w:tcW w:type="dxa" w:w="794"/>
          </w:tcPr>
          <w:p>
            <w:r/>
            <w:r>
              <w:rPr>
                <w:b w:val="0"/>
                <w:sz w:val="18"/>
              </w:rPr>
              <w:t>3.2.3</w:t>
            </w:r>
          </w:p>
        </w:tc>
        <w:tc>
          <w:tcPr>
            <w:tcW w:type="dxa" w:w="1928"/>
          </w:tcPr>
          <w:p>
            <w:r/>
            <w:r>
              <w:rPr>
                <w:b w:val="0"/>
                <w:sz w:val="18"/>
              </w:rPr>
              <w:t>8 000,00</w:t>
            </w:r>
          </w:p>
        </w:tc>
        <w:tc>
          <w:tcPr>
            <w:tcW w:type="dxa" w:w="2381"/>
          </w:tcPr>
          <w:p>
            <w:r/>
            <w:r>
              <w:rPr>
                <w:b w:val="0"/>
                <w:sz w:val="18"/>
              </w:rPr>
              <w:t>de minimis, 5.3.11</w:t>
            </w:r>
          </w:p>
        </w:tc>
      </w:tr>
      <w:tr>
        <w:tc>
          <w:tcPr>
            <w:tcW w:type="dxa" w:w="680"/>
          </w:tcPr>
          <w:p>
            <w:r/>
            <w:r>
              <w:rPr>
                <w:b w:val="0"/>
                <w:sz w:val="18"/>
              </w:rPr>
              <w:t>11-2</w:t>
            </w:r>
          </w:p>
        </w:tc>
        <w:tc>
          <w:tcPr>
            <w:tcW w:type="dxa" w:w="3969"/>
          </w:tcPr>
          <w:p>
            <w:r/>
            <w:r>
              <w:rPr>
                <w:b w:val="0"/>
                <w:sz w:val="18"/>
              </w:rPr>
              <w:t>Rzecznik: dokumentacja zgłoszeniowa, zgłoszenie do EPO, tłumaczenia</w:t>
            </w:r>
          </w:p>
        </w:tc>
        <w:tc>
          <w:tcPr>
            <w:tcW w:type="dxa" w:w="794"/>
          </w:tcPr>
          <w:p>
            <w:r/>
            <w:r>
              <w:rPr>
                <w:b w:val="0"/>
                <w:sz w:val="18"/>
              </w:rPr>
              <w:t>3.2.3</w:t>
            </w:r>
          </w:p>
        </w:tc>
        <w:tc>
          <w:tcPr>
            <w:tcW w:type="dxa" w:w="1928"/>
          </w:tcPr>
          <w:p>
            <w:r/>
            <w:r>
              <w:rPr>
                <w:b w:val="0"/>
                <w:sz w:val="18"/>
              </w:rPr>
              <w:t>15 500,00</w:t>
            </w:r>
          </w:p>
        </w:tc>
        <w:tc>
          <w:tcPr>
            <w:tcW w:type="dxa" w:w="2381"/>
          </w:tcPr>
          <w:p>
            <w:r/>
            <w:r>
              <w:rPr>
                <w:b w:val="0"/>
                <w:sz w:val="18"/>
              </w:rPr>
              <w:t>art. 28 GBER</w:t>
            </w:r>
          </w:p>
        </w:tc>
      </w:tr>
      <w:tr>
        <w:tc>
          <w:tcPr>
            <w:tcW w:type="dxa" w:w="680"/>
          </w:tcPr>
          <w:p>
            <w:r/>
            <w:r>
              <w:rPr>
                <w:b w:val="0"/>
                <w:sz w:val="18"/>
              </w:rPr>
              <w:t>11-3</w:t>
            </w:r>
          </w:p>
        </w:tc>
        <w:tc>
          <w:tcPr>
            <w:tcW w:type="dxa" w:w="3969"/>
          </w:tcPr>
          <w:p>
            <w:r/>
            <w:r>
              <w:rPr>
                <w:b w:val="0"/>
                <w:sz w:val="18"/>
              </w:rPr>
              <w:t>Opłaty urzędowe EPO (bez VAT)</w:t>
            </w:r>
          </w:p>
        </w:tc>
        <w:tc>
          <w:tcPr>
            <w:tcW w:type="dxa" w:w="794"/>
          </w:tcPr>
          <w:p>
            <w:r/>
            <w:r>
              <w:rPr>
                <w:b w:val="0"/>
                <w:sz w:val="18"/>
              </w:rPr>
              <w:t>3.2.3</w:t>
            </w:r>
          </w:p>
        </w:tc>
        <w:tc>
          <w:tcPr>
            <w:tcW w:type="dxa" w:w="1928"/>
          </w:tcPr>
          <w:p>
            <w:r/>
            <w:r>
              <w:rPr>
                <w:b w:val="0"/>
                <w:sz w:val="18"/>
              </w:rPr>
              <w:t>7 785,00</w:t>
            </w:r>
          </w:p>
        </w:tc>
        <w:tc>
          <w:tcPr>
            <w:tcW w:type="dxa" w:w="2381"/>
          </w:tcPr>
          <w:p>
            <w:r/>
            <w:r>
              <w:rPr>
                <w:b w:val="0"/>
                <w:sz w:val="18"/>
              </w:rPr>
              <w:t>opłaty urzędowe</w:t>
            </w:r>
          </w:p>
        </w:tc>
      </w:tr>
      <w:tr>
        <w:tc>
          <w:tcPr>
            <w:tcW w:type="dxa" w:w="680"/>
          </w:tcPr>
          <w:p>
            <w:r/>
            <w:r>
              <w:rPr>
                <w:b w:val="0"/>
                <w:sz w:val="18"/>
              </w:rPr>
              <w:t>10-4</w:t>
            </w:r>
          </w:p>
        </w:tc>
        <w:tc>
          <w:tcPr>
            <w:tcW w:type="dxa" w:w="3969"/>
          </w:tcPr>
          <w:p>
            <w:r/>
            <w:r>
              <w:rPr>
                <w:b w:val="0"/>
                <w:sz w:val="18"/>
              </w:rPr>
              <w:t>Wyjazd na kongres, stawka 5 489 zł x 2 osoby</w:t>
            </w:r>
          </w:p>
        </w:tc>
        <w:tc>
          <w:tcPr>
            <w:tcW w:type="dxa" w:w="794"/>
          </w:tcPr>
          <w:p>
            <w:r/>
            <w:r>
              <w:rPr>
                <w:b w:val="0"/>
                <w:sz w:val="18"/>
              </w:rPr>
              <w:t>3.2.5</w:t>
            </w:r>
          </w:p>
        </w:tc>
        <w:tc>
          <w:tcPr>
            <w:tcW w:type="dxa" w:w="1928"/>
          </w:tcPr>
          <w:p>
            <w:r/>
            <w:r>
              <w:rPr>
                <w:b w:val="0"/>
                <w:sz w:val="18"/>
              </w:rPr>
              <w:t>10 978,00</w:t>
            </w:r>
          </w:p>
        </w:tc>
        <w:tc>
          <w:tcPr>
            <w:tcW w:type="dxa" w:w="2381"/>
          </w:tcPr>
          <w:p>
            <w:r/>
            <w:r>
              <w:rPr>
                <w:b w:val="0"/>
                <w:sz w:val="18"/>
              </w:rPr>
              <w:t>art. 19 GBER, 5.3.3</w:t>
            </w:r>
          </w:p>
        </w:tc>
      </w:tr>
      <w:tr>
        <w:tc>
          <w:tcPr>
            <w:tcW w:type="dxa" w:w="680"/>
          </w:tcPr>
          <w:p>
            <w:r/>
            <w:r>
              <w:rPr>
                <w:b w:val="0"/>
                <w:sz w:val="18"/>
              </w:rPr>
              <w:t>10-5</w:t>
            </w:r>
          </w:p>
        </w:tc>
        <w:tc>
          <w:tcPr>
            <w:tcW w:type="dxa" w:w="3969"/>
          </w:tcPr>
          <w:p>
            <w:r/>
            <w:r>
              <w:rPr>
                <w:b w:val="0"/>
                <w:sz w:val="18"/>
              </w:rPr>
              <w:t>Misja gospodarcza do Czech 2029, stawka 5 489 zł x 1 osoba</w:t>
            </w:r>
          </w:p>
        </w:tc>
        <w:tc>
          <w:tcPr>
            <w:tcW w:type="dxa" w:w="794"/>
          </w:tcPr>
          <w:p>
            <w:r/>
            <w:r>
              <w:rPr>
                <w:b w:val="0"/>
                <w:sz w:val="18"/>
              </w:rPr>
              <w:t>3.2.5</w:t>
            </w:r>
          </w:p>
        </w:tc>
        <w:tc>
          <w:tcPr>
            <w:tcW w:type="dxa" w:w="1928"/>
          </w:tcPr>
          <w:p>
            <w:r/>
            <w:r>
              <w:rPr>
                <w:b w:val="0"/>
                <w:sz w:val="18"/>
              </w:rPr>
              <w:t>5 489,00</w:t>
            </w:r>
          </w:p>
        </w:tc>
        <w:tc>
          <w:tcPr>
            <w:tcW w:type="dxa" w:w="2381"/>
          </w:tcPr>
          <w:p>
            <w:r/>
            <w:r>
              <w:rPr>
                <w:b w:val="0"/>
                <w:sz w:val="18"/>
              </w:rPr>
              <w:t>de minimis, 5.3.4</w:t>
            </w:r>
          </w:p>
        </w:tc>
      </w:tr>
      <w:tr>
        <w:tc>
          <w:tcPr>
            <w:tcW w:type="dxa" w:w="680"/>
          </w:tcPr>
          <w:p>
            <w:r/>
          </w:p>
        </w:tc>
        <w:tc>
          <w:tcPr>
            <w:tcW w:type="dxa" w:w="3969"/>
          </w:tcPr>
          <w:p>
            <w:r/>
            <w:r>
              <w:rPr>
                <w:b w:val="0"/>
                <w:sz w:val="18"/>
              </w:rPr>
              <w:t>RAZEM kwalifikowalne / dofinansowanie 50%</w:t>
            </w:r>
          </w:p>
        </w:tc>
        <w:tc>
          <w:tcPr>
            <w:tcW w:type="dxa" w:w="794"/>
          </w:tcPr>
          <w:p>
            <w:r/>
          </w:p>
        </w:tc>
        <w:tc>
          <w:tcPr>
            <w:tcW w:type="dxa" w:w="1928"/>
          </w:tcPr>
          <w:p>
            <w:r/>
            <w:r>
              <w:rPr>
                <w:b w:val="0"/>
                <w:sz w:val="18"/>
              </w:rPr>
              <w:t>86 871,00 / 43 435,50</w:t>
            </w:r>
          </w:p>
        </w:tc>
        <w:tc>
          <w:tcPr>
            <w:tcW w:type="dxa" w:w="2381"/>
          </w:tcPr>
          <w:p>
            <w:r/>
            <w:r>
              <w:rPr>
                <w:b w:val="0"/>
                <w:sz w:val="18"/>
              </w:rPr>
              <w:t>bez zmiany względem obecnego wniosku</w:t>
            </w:r>
          </w:p>
        </w:tc>
      </w:tr>
    </w:tbl>
    <w:p/>
    <w:p>
      <w:r>
        <w:rPr>
          <w:b w:val="0"/>
        </w:rPr>
        <w:t>Sprawdziłam sumy: 70 404 zł w 3.2.3 plus 16 467 zł w 3.2.5 daje 86 871 zł, a wydatki ogółem 101 273,37 zł wynikają z VAT 23% na pozycjach 10-1, 10-2, 10-3, 10-6, 11-1 i 11-2 (62 619 zł x 1,23 = 77 021,37 zł) plus pozycje bez VAT (24 252 zł). Dofinansowanie się nie zmienia.</w:t>
      </w:r>
    </w:p>
    <w:p>
      <w:pPr>
        <w:pStyle w:val="Heading2"/>
      </w:pPr>
      <w:r>
        <w:t>8.5 Co poprawić w gotowym pliku Sekcja_3.2 i w LSI przed wklejeniem</w:t>
      </w:r>
    </w:p>
    <w:p>
      <w:pPr>
        <w:pStyle w:val="ListBullet"/>
      </w:pPr>
      <w:r>
        <w:rPr>
          <w:b/>
        </w:rPr>
        <w:t>Data eFTI:</w:t>
      </w:r>
      <w:r>
        <w:rPr>
          <w:b w:val="0"/>
        </w:rPr>
        <w:t xml:space="preserve"> w pliku Sekcja_3.2 (3.2.1, „Po drugie…”) jest „Od 21.08.2025”. Poprawna data to 9 lipca 2027 r., a plik LSI ma ją już dobrze, więc 3.2.1 wklejać z pliku LSI, nie z Sekcja_3.2.</w:t>
      </w:r>
    </w:p>
    <w:p>
      <w:pPr>
        <w:pStyle w:val="ListBullet"/>
      </w:pPr>
      <w:r>
        <w:rPr>
          <w:b/>
        </w:rPr>
        <w:t>Pozycja 10-4:</w:t>
      </w:r>
      <w:r>
        <w:rPr>
          <w:b w:val="0"/>
        </w:rPr>
        <w:t xml:space="preserve"> uzasadnienie podaje „Przewodnik 5.3.4”, a dla kongresu (art. 19 GBER) powinno być 5.3.3, tak jak w opisie Z10. Pozycja 10-5 (misja, de minimis) zostaje z 5.3.4.</w:t>
      </w:r>
    </w:p>
    <w:p>
      <w:pPr>
        <w:pStyle w:val="ListBullet"/>
      </w:pPr>
      <w:r>
        <w:rPr>
          <w:b/>
        </w:rPr>
        <w:t>Nazwa wydarzenia misji w tabeli 3.2.1:</w:t>
      </w:r>
      <w:r>
        <w:rPr>
          <w:b w:val="0"/>
        </w:rPr>
        <w:t xml:space="preserve"> w wersji C „misja gospodarcza do CEE (np. Czechy/Rumunia)”, a w tekście i budżecie misja do Czech. Wpisać „misja gospodarcza do Czech”.</w:t>
      </w:r>
    </w:p>
    <w:p>
      <w:pPr>
        <w:pStyle w:val="ListBullet"/>
      </w:pPr>
      <w:r>
        <w:rPr>
          <w:b/>
        </w:rPr>
        <w:t>Pole 8.2 (K14-01):</w:t>
      </w:r>
      <w:r>
        <w:rPr>
          <w:b w:val="0"/>
        </w:rPr>
        <w:t xml:space="preserve"> wkleić z Sekcja_3.2 część 6 (0 zł, rok 2030, decyzja D40), ale zdanie „pierwsze przychody poza RP wynikają z modelu od 2032-2033” zamienić na „przychodów poza RP nie zakładamy w prognozie; licencje API dla dostawców TMS w CEE byłyby uzupełnieniem poza prognozą”, bo model nie ma sprzedaży zagranicznej (patrz 7.3, poz. 4 i 11).</w:t>
      </w:r>
    </w:p>
    <w:p>
      <w:pPr>
        <w:pStyle w:val="ListBullet"/>
      </w:pPr>
      <w:r>
        <w:rPr>
          <w:b/>
        </w:rPr>
        <w:t>Delegat na kongres:</w:t>
      </w:r>
      <w:r>
        <w:rPr>
          <w:b w:val="0"/>
        </w:rPr>
        <w:t xml:space="preserve"> opis Z10 mówi, że pojadą „kierownik zarządzający” i specjalista TSL i że „obie osoby są zatrudnione w Everest11”. Kierownik zarządzający pracuje na umowie zlecenia i jego wynagrodzenie jest w kosztach pośrednich. Sprawdzić w Przewodniku (5.3.3), czy stawka jednostkowa wymaga zatrudnienia na etacie i czy wyjazd osoby z kosztów pośrednich nie dubluje ryczałtu. Jeżeli tak, drugim delegatem powinien być pracownik Everest11 (np. IoT Specialist), a opis Z10 trzeba przeredagować.</w:t>
      </w:r>
    </w:p>
    <w:p>
      <w:pPr>
        <w:pStyle w:val="ListBullet"/>
      </w:pPr>
      <w:r>
        <w:rPr>
          <w:b/>
        </w:rPr>
        <w:t>Pozycje 11-1 i 11-2:</w:t>
      </w:r>
      <w:r>
        <w:rPr>
          <w:b w:val="0"/>
        </w:rPr>
        <w:t xml:space="preserve"> nadal jedna oferta (JWP z 11.06.2026). Instrukcja wymaga liczby i nazw dostawców, do których wysłano zapytanie, i ich odpowiedzi (T36). Do czasu uzupełnienia metoda szacowania jest niepełna, a nie możemy jej uzupełnić bez dwóch dodatkowych ofert albo publicznych cenników.</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