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RETE GAIA SRL</w:t>
      </w:r>
    </w:p>
    <w:p>
      <w:pPr>
        <w:spacing w:after="40"/>
      </w:pPr>
      <w:r>
        <w:rPr>
          <w:sz w:val="22"/>
          <w:szCs w:val="22"/>
        </w:rPr>
        <w:t xml:space="preserve">SRACC Barigadu Guilcer  ·  Strumento di compilazione facilitata catene d’impatto</w:t>
      </w:r>
    </w:p>
    <w:p>
      <w:pPr>
        <w:spacing w:after="40" w:before="200"/>
      </w:pPr>
      <w:r>
        <w:rPr>
          <w:b/>
          <w:bCs/>
          <w:sz w:val="30"/>
          <w:szCs w:val="30"/>
        </w:rPr>
        <w:t xml:space="preserve">Specifica tecnica per il deployment</w:t>
      </w:r>
    </w:p>
    <w:p>
      <w:pPr>
        <w:spacing w:after="40"/>
      </w:pPr>
      <w:r>
        <w:rPr>
          <w:sz w:val="22"/>
          <w:szCs w:val="22"/>
        </w:rPr>
        <w:t xml:space="preserve">Da prototipi ad applicazione deployata su Netlify</w:t>
      </w:r>
    </w:p>
    <w:p>
      <w:pPr>
        <w:spacing w:after="40"/>
      </w:pPr>
      <w:r>
        <w:rPr>
          <w:sz w:val="20"/>
          <w:szCs w:val="20"/>
        </w:rPr>
        <w:t xml:space="preserve">Documento di riferimento per lo sviluppo con Claude Code</w:t>
      </w:r>
    </w:p>
    <w:p>
      <w:pPr>
        <w:spacing w:after="240"/>
      </w:pPr>
      <w:r>
        <w:rPr>
          <w:sz w:val="20"/>
          <w:szCs w:val="20"/>
        </w:rPr>
        <w:t xml:space="preserve">Andrea Vallebona  —  Rete Gaia Srl  ·  Maggio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2 — Luglio 2026: allineamento a libreria fattori v1, catene d’impatto v5 REV e indicatori v4. Corretto il numero di combinazioni sistema×pericolo (10, non 9); chiarito che il RACI non prevede automazione; aggiunta la tabella locks mancante allo schema; corretto un refuso nel CHECK di peso_suggerito; aggiornato il §7.1 allo stato reale della libreria (Step 1 del workflow di validazione).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3 — Luglio 2026: aggiunta la sezione 10, “Modulo di selezione indicatori”, successiva alla chiusura della catena d’impatto per field. Basata sulla lista indicatori unificata (PAC_BarigaduGuilcer_Step_5_Lista_Indicatori_Unificata_v2.xlsx) e sul flusso di lavoro definito con Andrea Vallebona: stessi referenti e stesso RACI della fase 1, selezione con pesatura per field (non solo scelta), analisi indifferentemente per field o per sistema×pericolo. Nuove tabelle indicatori e indicatori_scelti, nuovi endpoint, nuova route /indicatori, nuova azione di validazione contributi lato coordinatore. Rinumerata la tabella delle questioni aperte (ora Tab. 8) con l’aggiunta delle questioni C1–C3 relative al nuovo modulo. Il modulo non è prioritario e non blocca lo sviluppo S5–S9 in corso.</w:t>
            </w:r>
          </w:p>
        </w:tc>
      </w:tr>
    </w:tbl>
    <w:p>
      <w:pPr>
        <w:pStyle w:val="Heading1"/>
      </w:pPr>
      <w:r>
        <w:t xml:space="preserve">1. Scope e prerequisiti</w:t>
      </w:r>
    </w:p>
    <w:p>
      <w:pPr>
        <w:spacing w:after="120" w:before="0"/>
      </w:pPr>
      <w:r>
        <w:t xml:space="preserve">Questo documento traduce i prototipi sviluppati in sessione in requisiti formali per la costruzione dell’applicazione deployata. È il contratto tra i prototipi (specifiche funzionanti) e l’implementazione reale. Non descrive il funzionamento dell’applicazione — questo è già documentato nella relazione al gruppo di lavoro — ma le scelte tecniche, le strutture dati, gli endpoint e le interfacce tra componenti.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Prerequisiti non tecnici prima dell’avvio dello sviluppo — aggiornati a luglio 2026 sulla base delle tavole delle catene d’impatto (v5 REV), degli indicatori (v4 / unificata v2) e della libreria fattori (v1): (1) validazione delle catene d’impatto completata — confermate 10 combinazioni sistema×pericolo (non 9); (2) RACI: nessuna automazione prevista nel software — l’assegnazione dei ruoli R/A/C/I per sistema, pericolo e impact field resta una decisione manuale del coordinatore (v. §5.1); (3) libreria di fattori in versione consolidata post-validazione — la v1 attuale (437 fattori) è ferma allo Step 1 del workflow (nomi standardizzati; Strato compilato solo per Invariante nazionale e Specificità territoriale, Variabile regionale da classificare; Peso suggerito non ancora compilato; Fonte standard compilata al 27%). Il seed iniziale userà questa versione provvisoria (v. §7.1).</w:t>
            </w:r>
          </w:p>
        </w:tc>
      </w:tr>
    </w:tbl>
    <w:p>
      <w:pPr>
        <w:pStyle w:val="Heading2"/>
      </w:pPr>
      <w: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Layer</w:t>
            </w:r>
          </w:p>
        </w:tc>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Tecnologia scelta</w:t>
            </w:r>
          </w:p>
        </w:tc>
        <w:tc>
          <w:tcPr>
            <w:tcW w:type="dxa" w:w="4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Motivazione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React + Vite su Netlify (static build)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Compatibile con i prototipi artifact; deploy atomico; preview automatico per ogni branch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Backend</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Netlify Functions (Node.js serverless)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Nessuna infrastruttura dedicata; scala a zero fuori dalle sessioni di compilazione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 (PostgreSQL hosted)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Row-level security nativa per il sistema di autorizzazione; client JS leggero; free tier sufficiente per il volume SRACC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Autenticazione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Magic link via Supabase Auth</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Un link personalizzato per referente generato dal coordinatore; nessuna password; sufficiente per un gruppo di 6–8 persone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Anthropic API claude-sonnet via Netlify Function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La chiave API rimane lato server; il frontend non la vede mai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GIS / mappe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Mapbox GL JS o Leaflet (fase 2)</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Non necessario per il deployment iniziale; rilevante per la vista WebGIS</w:t>
            </w:r>
          </w:p>
        </w:tc>
      </w:tr>
    </w:tbl>
    <w:p>
      <w:pPr>
        <w:spacing w:after="240" w:before="80"/>
      </w:pPr>
      <w:r>
        <w:rPr>
          <w:color w:val="555555"/>
          <w:sz w:val="19"/>
          <w:szCs w:val="19"/>
        </w:rPr>
        <w:t xml:space="preserve">Tab. 1 — Stack tecnologico e motivazioni delle scelte.</w:t>
      </w:r>
    </w:p>
    <w:p>
      <w:pPr>
        <w:pStyle w:val="Heading1"/>
      </w:pPr>
      <w:r>
        <w:t xml:space="preserve">2. Modello dati</w:t>
      </w:r>
    </w:p>
    <w:p>
      <w:pPr>
        <w:pStyle w:val="Heading2"/>
      </w:pPr>
      <w:r>
        <w:t xml:space="preserve">2.1  Schema del database (Supabase / PostgreSQL)</w:t>
      </w:r>
    </w:p>
    <w:p>
      <w:pPr>
        <w:spacing w:after="120" w:before="0"/>
      </w:pPr>
      <w:r>
        <w:t xml:space="preserve">Sei tabelle principali (la sesta, locks, gestisce la concorrenza di scrittura ed è descritta al termine dell’elenco). Le relazioni sono descritte con la chiave esterna rilevante. Il modulo di selezione indicatori (§10) aggiunge due tabelle ulteriori, descritte in quella sezione per non appesantire lo schema di base.</w:t>
      </w:r>
    </w:p>
    <w:p>
      <w:pPr>
        <w:pStyle w:val="Heading3"/>
      </w:pPr>
      <w:r>
        <w:t xml:space="preserve">territories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name        text NOT NULL                  -- es. "Barigadu Guilcer"</w:t>
      </w:r>
    </w:p>
    <w:p>
      <w:pPr>
        <w:spacing w:after="40" w:before="0"/>
      </w:pPr>
      <w:r>
        <w:rPr>
          <w:rFonts w:ascii="Courier New" w:cs="Courier New" w:eastAsia="Courier New" w:hAnsi="Courier New"/>
          <w:sz w:val="19"/>
          <w:szCs w:val="19"/>
        </w:rPr>
        <w:t xml:space="preserve">region      text                           -- es. "Sardegna"</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config      jsonb                          -- pericoli attivi, field attivi, metadati</w:t>
      </w:r>
    </w:p>
    <w:p>
      <w:pPr>
        <w:pStyle w:val="Heading3"/>
      </w:pPr>
      <w:r>
        <w:t xml:space="preserve">users</w:t>
      </w:r>
    </w:p>
    <w:p>
      <w:pPr>
        <w:spacing w:after="40" w:before="0"/>
      </w:pPr>
      <w:r>
        <w:rPr>
          <w:rFonts w:ascii="Courier New" w:cs="Courier New" w:eastAsia="Courier New" w:hAnsi="Courier New"/>
          <w:sz w:val="19"/>
          <w:szCs w:val="19"/>
        </w:rPr>
        <w:t xml:space="preserve">id          uuid PRIMARY KEY               -- da Supabase Auth</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name        text NOT NULL</w:t>
      </w:r>
    </w:p>
    <w:p>
      <w:pPr>
        <w:spacing w:after="40" w:before="0"/>
      </w:pPr>
      <w:r>
        <w:rPr>
          <w:rFonts w:ascii="Courier New" w:cs="Courier New" w:eastAsia="Courier New" w:hAnsi="Courier New"/>
          <w:sz w:val="19"/>
          <w:szCs w:val="19"/>
        </w:rPr>
        <w:t xml:space="preserve">discipline  text</w:t>
      </w:r>
    </w:p>
    <w:p>
      <w:pPr>
        <w:spacing w:after="40" w:before="0"/>
      </w:pPr>
      <w:r>
        <w:rPr>
          <w:rFonts w:ascii="Courier New" w:cs="Courier New" w:eastAsia="Courier New" w:hAnsi="Courier New"/>
          <w:sz w:val="19"/>
          <w:szCs w:val="19"/>
        </w:rPr>
        <w:t xml:space="preserve">role        text CHECK (role IN ('coordinator','contributor','observer'))</w:t>
      </w:r>
    </w:p>
    <w:p>
      <w:pPr>
        <w:spacing w:after="40" w:before="0"/>
      </w:pPr>
      <w:r>
        <w:rPr>
          <w:rFonts w:ascii="Courier New" w:cs="Courier New" w:eastAsia="Courier New" w:hAnsi="Courier New"/>
          <w:sz w:val="19"/>
          <w:szCs w:val="19"/>
        </w:rPr>
        <w:t xml:space="preserve">magic_token text UNIQUE                    -- token del link personalizzato</w:t>
      </w:r>
    </w:p>
    <w:p>
      <w:pPr>
        <w:pStyle w:val="Heading3"/>
      </w:pPr>
      <w:r>
        <w:t xml:space="preserve">raci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role          text CHECK (role IN ('R','A','C','I'))</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 xml:space="preserve">Nota: la granularità per field (oltre che per sistema e pericolo) non è ridondante — è funzionale al workflow di compilazione e pesatura dei fattori da parte degli esperti. Un referente può essere responsabile (R o A) solo di specifici impact field all’interno di una combinazione sistema×pericolo, non dell’intera combinazione. Nessuna automazione è prevista nell’assegnazione: la matrice raci resta compilata manualmente dal coordinatore. La stessa tabella è riusata, senza modifiche, per governare i permessi del modulo indicatori (§10).</w:t>
      </w:r>
    </w:p>
    <w:p>
      <w:pPr>
        <w:pStyle w:val="Heading3"/>
      </w:pPr>
      <w:r>
        <w:t xml:space="preserve">factors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nome_std        text NOT NULL</w:t>
      </w:r>
    </w:p>
    <w:p>
      <w:pPr>
        <w:spacing w:after="40" w:before="0"/>
      </w:pPr>
      <w:r>
        <w:rPr>
          <w:rFonts w:ascii="Courier New" w:cs="Courier New" w:eastAsia="Courier New" w:hAnsi="Courier New"/>
          <w:sz w:val="19"/>
          <w:szCs w:val="19"/>
        </w:rPr>
        <w:t xml:space="preserve">componente      text CHECK (componente IN ('Esposizione','Sensibilita','Capacita adattiva'))</w:t>
      </w:r>
    </w:p>
    <w:p>
      <w:pPr>
        <w:spacing w:after="40" w:before="0"/>
      </w:pPr>
      <w:r>
        <w:rPr>
          <w:rFonts w:ascii="Courier New" w:cs="Courier New" w:eastAsia="Courier New" w:hAnsi="Courier New"/>
          <w:sz w:val="19"/>
          <w:szCs w:val="19"/>
        </w:rPr>
        <w:t xml:space="preserve">strato          text CHECK (strato IN ('IN','VR','ST'))  -- IN=Invariante nazionale, VR=Variabile regionale, ST=Specificita territoriale</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fonte_std       text</w:t>
      </w:r>
    </w:p>
    <w:p>
      <w:pPr>
        <w:spacing w:after="40" w:before="0"/>
      </w:pPr>
      <w:r>
        <w:rPr>
          <w:rFonts w:ascii="Courier New" w:cs="Courier New" w:eastAsia="Courier New" w:hAnsi="Courier New"/>
          <w:sz w:val="19"/>
          <w:szCs w:val="19"/>
        </w:rPr>
        <w:t xml:space="preserve">peso_suggerito  text CHECK (peso_suggerito IN ('Determinante','Rilevante','Marginale') OR peso_suggerito IS NULL)</w:t>
      </w:r>
    </w:p>
    <w:p>
      <w:pPr>
        <w:spacing w:after="120" w:before="0"/>
      </w:pPr>
      <w:r>
        <w:t xml:space="preserve">Nota sullo stato dei dati al seed iniziale (libreria v1, 437 fattori): strato compilato solo per IN e ST (VR da classificare); peso_suggerito vuoto su tutti i record (si compila allo Step 4–5 del workflow di validazione); fonte_std compilata sul 27% dei record. Il seed importa la libreria così com’è, valori NULL inclusi; un re-seed (upsert non distruttivo) è previsto quando la libreria userà consolidata (v. §7.1).</w:t>
      </w:r>
    </w:p>
    <w:p>
      <w:pPr>
        <w:pStyle w:val="Heading3"/>
      </w:pPr>
      <w:r>
        <w:t xml:space="preserve">contributions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factors       jsonb NOT NULL              -- array di {factor_id, nome, componente, peso, free}</w:t>
      </w:r>
    </w:p>
    <w:p>
      <w:pPr>
        <w:spacing w:after="40" w:before="0"/>
      </w:pPr>
      <w:r>
        <w:rPr>
          <w:rFonts w:ascii="Courier New" w:cs="Courier New" w:eastAsia="Courier New" w:hAnsi="Courier New"/>
          <w:sz w:val="19"/>
          <w:szCs w:val="19"/>
        </w:rPr>
        <w:t xml:space="preserve">vulnerability jsonb                       -- {sen: Alta|Media|Bassa, cap: ..., rischio: ...}</w:t>
      </w:r>
    </w:p>
    <w:p>
      <w:pPr>
        <w:spacing w:after="40" w:before="0"/>
      </w:pPr>
      <w:r>
        <w:rPr>
          <w:rFonts w:ascii="Courier New" w:cs="Courier New" w:eastAsia="Courier New" w:hAnsi="Courier New"/>
          <w:sz w:val="19"/>
          <w:szCs w:val="19"/>
        </w:rPr>
        <w:t xml:space="preserve">note          text</w:t>
      </w:r>
    </w:p>
    <w:p>
      <w:pPr>
        <w:spacing w:after="40" w:before="0"/>
      </w:pPr>
      <w:r>
        <w:rPr>
          <w:rFonts w:ascii="Courier New" w:cs="Courier New" w:eastAsia="Courier New" w:hAnsi="Courier New"/>
          <w:sz w:val="19"/>
          <w:szCs w:val="19"/>
        </w:rPr>
        <w:t xml:space="preserve">status        text DEFAULT 'draft'         -- draft | submitted | validated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  -- un contributo per referente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valore status = 'validated' è il segnale di chiusura della fase 1 usato dal modulo indicatori (§10) per sbloccare, field per field, la fase successiva. Nella versione precedente della specifica questo stato era previsto ma non collegato a nessuna azione lato coordinatore: l’azione di validazione viene aggiunta in §10.3.</w:t>
            </w:r>
          </w:p>
        </w:tc>
      </w:tr>
    </w:tbl>
    <w:p>
      <w:pPr>
        <w:pStyle w:val="Heading3"/>
      </w:pPr>
      <w:r>
        <w:t xml:space="preserve">locks (sesta tabella)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locked_at     timestamptz DEFAULT now()</w:t>
      </w:r>
    </w:p>
    <w:p>
      <w:pPr>
        <w:spacing w:after="40" w:before="0"/>
      </w:pPr>
      <w:r>
        <w:rPr>
          <w:rFonts w:ascii="Courier New" w:cs="Courier New" w:eastAsia="Courier New" w:hAnsi="Courier New"/>
          <w:sz w:val="19"/>
          <w:szCs w:val="19"/>
        </w:rPr>
        <w:t xml:space="preserve">UNIQUE (territory_id, sistema, pericolo, field)  -- un lock attivo per field</w:t>
      </w:r>
    </w:p>
    <w:p>
      <w:pPr>
        <w:spacing w:after="120" w:before="0"/>
      </w:pPr>
      <w:r>
        <w:t xml:space="preserve">Tabella aggiunta nella revisione 2, sebbene già richiamata al §5.2 (blocco ottimistico per field con co-referenti). Il lock scade dopo 30 minuti (verificato lato client via polling, v. §5.2) o alla cancellazione esplicita al salvataggio; nessun trigger DB di scadenza automatica è previsto nel deployment iniziale.</w:t>
      </w:r>
    </w:p>
    <w:p>
      <w:pPr>
        <w:pStyle w:val="Heading1"/>
      </w:pPr>
      <w:r>
        <w:t xml:space="preserve">3. API — Netlify Functions</w:t>
      </w:r>
    </w:p>
    <w:p>
      <w:pPr>
        <w:spacing w:after="120" w:before="0"/>
      </w:pPr>
      <w:r>
        <w:t xml:space="preserve">Tutte le Function ricevono e restituiscono JSON. L’autenticazione avviene tramite header Authorization: Bearer {supabase_jwt}. Le Function non espongono mai la chiave Anthropic al client.</w:t>
      </w:r>
    </w:p>
    <w:p>
      <w:pPr>
        <w:pStyle w:val="Heading2"/>
      </w:pPr>
      <w:r>
        <w:t xml:space="preserve">3.1  Endpoint principali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60"/>
        <w:gridCol w:w="25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/api/factors?sistema=&amp;pericolo=&amp;field=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i fattori della libreria per la combinazione richiesta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Filtra per territory_id: prima i fattori ST del territorio, poi IN/VR condivisi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/api/contributions?sistema=&amp;pericolo=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tutti i contributi del territorio per la combinazione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il coordinatore riceve i contributi degli altri; il referente solo i propri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Crea o aggiorna un contributo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Verifica RACI prima di scrivere; rifiuta se l’utente non è assegnato al field</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/api/ai/classify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Classifica un fattore a testo libero nella componente appropriata</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Chiama Anthropic API; restituisce {componente, motivazione, confidenza}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/api/ai/overlaps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Rileva sovrapposizioni semantiche tra fattori di contribuenti diversi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Chiamata batch; usata dalla vista coordinatore, non dal form referente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/api/raci?territory_id=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la matrice RACI del territorio</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/api/magic-link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Genera un magic link per un utente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invia email via Supabase Auth</w:t>
            </w:r>
          </w:p>
        </w:tc>
      </w:tr>
    </w:tbl>
    <w:p>
      <w:pPr>
        <w:spacing w:after="240" w:before="80"/>
      </w:pPr>
      <w:r>
        <w:rPr>
          <w:color w:val="555555"/>
          <w:sz w:val="19"/>
          <w:szCs w:val="19"/>
        </w:rPr>
        <w:t xml:space="preserve">Tab. 2 — Endpoint API principali. Tutte le route sono Netlify Functions in /netlify/functions/. Gli endpoint del modulo indicatori sono in Tab. 7 (§10.3).</w:t>
      </w:r>
    </w:p>
    <w:p>
      <w:pPr>
        <w:pStyle w:val="Heading2"/>
      </w:pPr>
      <w:r>
        <w:t xml:space="preserve">3.2  Formato del payload AI — /api/ai/classify</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"testo": "assenza di connettivita ecologica tra siti Natura 2000",</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"Superfici agro-pastorali naturali"</w:t>
      </w:r>
    </w:p>
    <w:p>
      <w:pPr>
        <w:spacing w:after="40" w:before="0"/>
      </w:pPr>
      <w:r>
        <w:rPr>
          <w:rFonts w:ascii="Courier New" w:cs="Courier New" w:eastAsia="Courier New" w:hAnsi="Courier New"/>
          <w:sz w:val="19"/>
          <w:szCs w:val="19"/>
        </w:rPr>
        <w:t xml:space="preserve">}</w:t>
      </w:r>
    </w:p>
    <w:p>
      <w:pPr>
        <w:spacing w:after="120" w:before="0"/>
      </w:pPr>
      <w:r>
        <w:t xml:space="preserve">Risposta attesa:</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"componente": "Sensibilita",</w:t>
      </w:r>
    </w:p>
    <w:p>
      <w:pPr>
        <w:spacing w:after="40" w:before="0"/>
      </w:pPr>
      <w:r>
        <w:rPr>
          <w:rFonts w:ascii="Courier New" w:cs="Courier New" w:eastAsia="Courier New" w:hAnsi="Courier New"/>
          <w:sz w:val="19"/>
          <w:szCs w:val="19"/>
        </w:rPr>
        <w:t xml:space="preserve">  "motivazione": "Condizione strutturale che aumenta la fragilita del sistema al pericolo",</w:t>
      </w:r>
    </w:p>
    <w:p>
      <w:pPr>
        <w:spacing w:after="40" w:before="0"/>
      </w:pPr>
      <w:r>
        <w:rPr>
          <w:rFonts w:ascii="Courier New" w:cs="Courier New" w:eastAsia="Courier New" w:hAnsi="Courier New"/>
          <w:sz w:val="19"/>
          <w:szCs w:val="19"/>
        </w:rPr>
        <w:t xml:space="preserve">  "confidenza": "alta"  // alta | media | bassa</w:t>
      </w:r>
    </w:p>
    <w:p>
      <w:pPr>
        <w:spacing w:after="40" w:before="0"/>
      </w:pPr>
      <w:r>
        <w:rPr>
          <w:rFonts w:ascii="Courier New" w:cs="Courier New" w:eastAsia="Courier New" w:hAnsi="Courier New"/>
          <w:sz w:val="19"/>
          <w:szCs w:val="19"/>
        </w:rPr>
        <w:t xml:space="preserve">}</w:t>
      </w:r>
    </w:p>
    <w:p>
      <w:pPr>
        <w:pStyle w:val="Heading1"/>
      </w:pPr>
      <w:r>
        <w:t xml:space="preserve">4. Architettura frontend</w:t>
      </w:r>
    </w:p>
    <w:p>
      <w:pPr>
        <w:pStyle w:val="Heading2"/>
      </w:pPr>
      <w:r>
        <w:t xml:space="preserve">4.1  Struttura delle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Route</w:t>
            </w:r>
          </w:p>
        </w:tc>
        <w:tc>
          <w:tcPr>
            <w:tcW w:type="dxa" w:w="2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 React</w:t>
            </w:r>
          </w:p>
        </w:tc>
        <w:tc>
          <w:tcPr>
            <w:tcW w:type="dxa" w:w="4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Accesso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/login/:token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MagicLinkAuth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Pubblico — valida il token e crea la sessione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Dashboard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Tutti — redirect a /form o /coordinator secondo il ruolo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ContributorForm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 + Coordinator — 4 passi guidati</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/coordinator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CoordinatorView</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 — 3 tab: aggregata, pervasività, segnalazioni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/visualize/:type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Visualization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Tutti — bow-tie, heatmap, grafo — query param: sistema, pericolo, field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AdminPanel</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 — gestione utenti, RACI, configurazione territorio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 + Coordinator — solo su field validati e assegnati nel RACI</w:t>
            </w:r>
          </w:p>
        </w:tc>
      </w:tr>
    </w:tbl>
    <w:p>
      <w:pPr>
        <w:spacing w:after="240" w:before="80"/>
      </w:pPr>
      <w:r>
        <w:rPr>
          <w:color w:val="555555"/>
          <w:sz w:val="19"/>
          <w:szCs w:val="19"/>
        </w:rPr>
        <w:t xml:space="preserve">Tab. 3 — Route React e controllo accesso. La riga /indicatori è aggiunta in questa revisione (§10.4).</w:t>
      </w:r>
    </w:p>
    <w:p>
      <w:pPr>
        <w:pStyle w:val="Heading2"/>
      </w:pPr>
      <w:r>
        <w:t xml:space="preserve">4.2  Componenti principali e derivazione dai prototipi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Prototipo di riferimento</w:t>
            </w:r>
          </w:p>
        </w:tc>
        <w:tc>
          <w:tcPr>
            <w:tcW w:type="dxa" w:w="4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Delta rispetto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StepSelector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Dropdown alimentati da API /api/factors invece di dati embedded; stato persistito in URL query param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FactorChips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Fetch da API al mount; aggiunta fattori liberi chiama /api/ai/classify; salvataggio ottimistico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WeightingPanel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Identico al prototipo; peso salvato nel contribution object in stato locale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NotesExport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4</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Export JSON sostituito da POST /api/contributions; bottone download rimane come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AggregatedView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da GET /api/contributions; espansione field via accordion; identico al prototipo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PervasivityView</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 — tab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Calcolo pervasività lato client su dati da API; identico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SignalView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Divergenze calcolate client-side; sovrapposizioni semantiche da /api/ai/overlaps (lazy call)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Visualizzazione bow-tie</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SVG statico generato da dati contribution; navigabile per combinazione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 di rischio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aggregati da API; drill-down su click; criterio aggregazione configurabile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PervasityGraph</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Grafo pervasività</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D3 force simulation; encoding intensità da definire (v. questioni aperte)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 — componente nuovo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Riusa il pattern di FactorChips + WeightingPanel: selezione e pesatura degli indicatori per field, con vista raggruppabile per field o per sistema×pericolo</w:t>
            </w:r>
          </w:p>
        </w:tc>
      </w:tr>
    </w:tbl>
    <w:p>
      <w:pPr>
        <w:spacing w:after="240" w:before="80"/>
      </w:pPr>
      <w:r>
        <w:rPr>
          <w:color w:val="555555"/>
          <w:sz w:val="19"/>
          <w:szCs w:val="19"/>
        </w:rPr>
        <w:t xml:space="preserve">Tab. 4 — Componenti React e loro relazione con i prototipi. Il delta è limitato: i prototipi sono specifiche funzionanti, non codice da portare in produzione.</w:t>
      </w:r>
    </w:p>
    <w:p>
      <w:pPr>
        <w:pStyle w:val="Heading1"/>
      </w:pPr>
      <w:r>
        <w:t xml:space="preserve">5. Autenticazione e autorizzazione</w:t>
      </w:r>
    </w:p>
    <w:p>
      <w:pPr>
        <w:pStyle w:val="Heading2"/>
      </w:pPr>
      <w:r>
        <w:t xml:space="preserve">5.1  Flusso di onboarding di un referente</w:t>
      </w:r>
    </w:p>
    <w:p>
      <w:pPr>
        <w:pStyle w:val="ListParagraph"/>
        <w:numPr>
          <w:ilvl w:val="0"/>
          <w:numId w:val="2"/>
        </w:numPr>
        <w:spacing w:after="100"/>
      </w:pPr>
      <w:r>
        <w:t xml:space="preserve">Il coordinatore apre /admin e crea un utente con nome, disciplina e ruolo contributor.</w:t>
      </w:r>
    </w:p>
    <w:p>
      <w:pPr>
        <w:pStyle w:val="ListParagraph"/>
        <w:numPr>
          <w:ilvl w:val="0"/>
          <w:numId w:val="2"/>
        </w:numPr>
        <w:spacing w:after="100"/>
      </w:pPr>
      <w:r>
        <w:t xml:space="preserve">Il sistema chiama /api/magic-link: Supabase Auth genera un token a scadenza 72h e invia l’email.</w:t>
      </w:r>
    </w:p>
    <w:p>
      <w:pPr>
        <w:pStyle w:val="ListParagraph"/>
        <w:numPr>
          <w:ilvl w:val="0"/>
          <w:numId w:val="2"/>
        </w:numPr>
        <w:spacing w:after="100"/>
      </w:pPr>
      <w:r>
        <w:t xml:space="preserve">Il referente clicca il link, viene portato su /login/:token, la sessione viene creata.</w:t>
      </w:r>
    </w:p>
    <w:p>
      <w:pPr>
        <w:pStyle w:val="ListParagraph"/>
        <w:numPr>
          <w:ilvl w:val="0"/>
          <w:numId w:val="2"/>
        </w:numPr>
        <w:spacing w:after="100"/>
      </w:pPr>
      <w:r>
        <w:t xml:space="preserve">Il referente è ora autenticato; il JWT Supabase è incluso in ogni chiamata API successiva.</w:t>
      </w:r>
    </w:p>
    <w:p>
      <w:pPr>
        <w:pStyle w:val="ListParagraph"/>
        <w:numPr>
          <w:ilvl w:val="0"/>
          <w:numId w:val="2"/>
        </w:numPr>
        <w:spacing w:after="100"/>
      </w:pPr>
      <w:r>
        <w:t xml:space="preserve">Le RLS policies Supabase verificano il ruolo e il RACI su ogni query al database.</w:t>
      </w:r>
    </w:p>
    <w:p>
      <w:pPr>
        <w:pStyle w:val="Heading2"/>
      </w:pPr>
      <w:r>
        <w:t xml:space="preserve">5.2  Gestione della concorrenza per field con co-referenti</w:t>
      </w:r>
    </w:p>
    <w:p>
      <w:pPr>
        <w:spacing w:after="120" w:before="0"/>
      </w:pPr>
      <w:r>
        <w:t xml:space="preserve">Per i field con più referenti assegnati (ruolo R + A nel RACI) si applica un blocco ottimistico leggero: quando un referente apre un field in modalità modifica, il sistema registra un lock in una tabella “locks” con timestamp. Se un secondo referente prova ad aprire lo stesso field entro la finestra di lock (30 minuti), riceve un avviso. Il lock si rilascia automaticamente al salvataggio o allo scadere del timeout. Non è necessario un sistema di websocket: un polling ogni 30 secondi sulla tabella locks è sufficiente.</w:t>
      </w:r>
    </w:p>
    <w:p>
      <w:pPr>
        <w:pStyle w:val="Heading1"/>
      </w:pPr>
      <w:r>
        <w:t xml:space="preserve">6. Modulo AI — specifiche delle chiamate</w:t>
      </w:r>
    </w:p>
    <w:p>
      <w:pPr>
        <w:pStyle w:val="Heading2"/>
      </w:pPr>
      <w:r>
        <w:t xml:space="preserve">6.1  Classificazione fattori a testo libero</w:t>
      </w:r>
    </w:p>
    <w:p>
      <w:pPr>
        <w:spacing w:after="120" w:before="0"/>
      </w:pPr>
      <w:r>
        <w:t xml:space="preserve">Ogni chiamata è indipendente e senza stato. Il prompt include: sistema, pericolo, field di contesto; il testo inserito dal referente; le definizioni delle tre componenti dalla libreria IPCC AR6. La risposta è strutturata in JSON come da §3.2. Il modello usato è claude-sonnet-4-20250514 con max_tokens: 200.</w:t>
      </w:r>
    </w:p>
    <w:p>
      <w:pPr>
        <w:pStyle w:val="Heading2"/>
      </w:pPr>
      <w:r>
        <w:t xml:space="preserve">6.2  Rilevamento sovrapposizioni semantiche</w:t>
      </w:r>
    </w:p>
    <w:p>
      <w:pPr>
        <w:spacing w:after="120" w:before="0"/>
      </w:pPr>
      <w:r>
        <w:t xml:space="preserve">Chiamata batch dalla vista coordinatore. Input: lista di nomi di fattori (max 30) per una combinazione sistema × pericolo. Output: array di stringhe descrittive delle sovrapposizioni rilevate (max 3 per chiamata). Chiamata lazy: si attiva solo quando il coordinatore apre il tab Segnalazioni, non al caricamento della pagina. Risultato cachato per sessione.</w:t>
      </w:r>
    </w:p>
    <w:p>
      <w:pPr>
        <w:pStyle w:val="Heading2"/>
      </w:pPr>
      <w:r>
        <w:t xml:space="preserve">6.3  Suggerimento fattori mancanti (fase 2)</w:t>
      </w:r>
    </w:p>
    <w:p>
      <w:pPr>
        <w:spacing w:after="120" w:before="0"/>
      </w:pPr>
      <w:r>
        <w:t xml:space="preserve">Non implementato nel deployment iniziale. Richiede una chiamata dopo il completamento del Passo 2 del form: confronta i fattori selezionati con la libreria e propone candidati non selezionati con spiegazione. Aggiunge latenza percepita nel flusso del referente — da valutare dopo i primi test utente.</w:t>
      </w:r>
    </w:p>
    <w:p>
      <w:pPr>
        <w:pStyle w:val="Heading1"/>
      </w:pPr>
      <w:r>
        <w:t xml:space="preserve">7. Formato import/export della libreria e dei contributi</w:t>
      </w:r>
    </w:p>
    <w:p>
      <w:pPr>
        <w:pStyle w:val="Heading2"/>
      </w:pPr>
      <w:r>
        <w:t xml:space="preserve">7.1  Seed della libreria da SRACC_BG_Libreria_v1.xlsx</w:t>
      </w:r>
    </w:p>
    <w:p>
      <w:pPr>
        <w:spacing w:after="120" w:before="0"/>
      </w:pPr>
      <w:r>
        <w:t xml:space="preserve">Al primo deploy, la libreria (SRACC_BG_Libreria_v1.xlsx, foglio “Libreria”, 437 fattori) viene importata nel database tramite uno script Node.js che legge il file XLSX con SheetJS e fa un upsert bulk nella tabella factors, mappando le colonne del foglio su quelle dello schema: Nome standardizzato → nome_std, Componente → componente, Strato → strato (i valori estesi del foglio — Invariante nazionale, Variabile regionale, Specificità territoriale — vengono convertiti nei codici IN/VR/ST), Sistema → sistema, Pericolo → pericolo, Impact Field → field, Fonte standard → fonte_std, Peso suggerito → peso_suggerito (vuoto ammesso). La chiave di deduplicazione è la coppia (nome_std, sistema, pericolo, field, componente). La v1 è ferma allo Step 1 del workflow di validazione (nomi standardizzati e classificazione sistema/pericolo/field complete; strato compilato solo per IN e ST, VR da classificare; peso_suggerito e fonte_std parzialmente o non compilati): il seed iniziale userà questa versione provvisoria e un re-seed (upsert non distruttivo) è previsto quando la libreria raggiungerà lo Step 4–5 (peso assegnato). Lo script fa parte del repository sotto /scripts/seed-library.js.</w:t>
      </w:r>
    </w:p>
    <w:p>
      <w:pPr>
        <w:pStyle w:val="Heading2"/>
      </w:pPr>
      <w:r>
        <w:t xml:space="preserve">7.2  Formato JSON dei contributi (invariante)</w:t>
      </w:r>
    </w:p>
    <w:p>
      <w:pPr>
        <w:spacing w:after="120" w:before="0"/>
      </w:pPr>
      <w:r>
        <w:t xml:space="preserve">Il formato JSON prodotto dal prototipo è il formato canonico. È il contratto tra il form referente e la vista coordinatore e deve rimanere stabile:</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"referente": "Fois M.",</w:t>
      </w:r>
    </w:p>
    <w:p>
      <w:pPr>
        <w:spacing w:after="40" w:before="0"/>
      </w:pPr>
      <w:r>
        <w:rPr>
          <w:rFonts w:ascii="Courier New" w:cs="Courier New" w:eastAsia="Courier New" w:hAnsi="Courier New"/>
          <w:sz w:val="19"/>
          <w:szCs w:val="19"/>
        </w:rPr>
        <w:t xml:space="preserve">  "disciplina": "Naturalista",</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"Ecosistemi forestali e vegetazione",</w:t>
      </w:r>
    </w:p>
    <w:p>
      <w:pPr>
        <w:spacing w:after="40" w:before="0"/>
      </w:pPr>
      <w:r>
        <w:rPr>
          <w:rFonts w:ascii="Courier New" w:cs="Courier New" w:eastAsia="Courier New" w:hAnsi="Courier New"/>
          <w:sz w:val="19"/>
          <w:szCs w:val="19"/>
        </w:rPr>
        <w:t xml:space="preserve">  "fattori": [</w:t>
      </w:r>
    </w:p>
    <w:p>
      <w:pPr>
        <w:spacing w:after="40" w:before="0"/>
      </w:pPr>
      <w:r>
        <w:rPr>
          <w:rFonts w:ascii="Courier New" w:cs="Courier New" w:eastAsia="Courier New" w:hAnsi="Courier New"/>
          <w:sz w:val="19"/>
          <w:szCs w:val="19"/>
        </w:rPr>
        <w:t xml:space="preserve">    { "nome": "...", "componente": "Sensibilita", "strato": "IN",</w:t>
      </w:r>
    </w:p>
    <w:p>
      <w:pPr>
        <w:spacing w:after="40" w:before="0"/>
      </w:pPr>
      <w:r>
        <w:rPr>
          <w:rFonts w:ascii="Courier New" w:cs="Courier New" w:eastAsia="Courier New" w:hAnsi="Courier New"/>
          <w:sz w:val="19"/>
          <w:szCs w:val="19"/>
        </w:rPr>
        <w:t xml:space="preserve">      "fonte": "...", "peso": "Determinante", "free": false }</w:t>
      </w:r>
    </w:p>
    <w:p>
      <w:pPr>
        <w:spacing w:after="40" w:before="0"/>
      </w:pPr>
      <w:r>
        <w:rPr>
          <w:rFonts w:ascii="Courier New" w:cs="Courier New" w:eastAsia="Courier New" w:hAnsi="Courier New"/>
          <w:sz w:val="19"/>
          <w:szCs w:val="19"/>
        </w:rPr>
        <w:t xml:space="preserve">  ],</w:t>
      </w:r>
    </w:p>
    <w:p>
      <w:pPr>
        <w:spacing w:after="40" w:before="0"/>
      </w:pPr>
      <w:r>
        <w:rPr>
          <w:rFonts w:ascii="Courier New" w:cs="Courier New" w:eastAsia="Courier New" w:hAnsi="Courier New"/>
          <w:sz w:val="19"/>
          <w:szCs w:val="19"/>
        </w:rPr>
        <w:t xml:space="preserve">  "vulnerabilita": { "sen": "Alta", "cap": "Bassa", "rischio": "Alto" },</w:t>
      </w:r>
    </w:p>
    <w:p>
      <w:pPr>
        <w:spacing w:after="40" w:before="0"/>
      </w:pPr>
      <w:r>
        <w:rPr>
          <w:rFonts w:ascii="Courier New" w:cs="Courier New" w:eastAsia="Courier New" w:hAnsi="Courier New"/>
          <w:sz w:val="19"/>
          <w:szCs w:val="19"/>
        </w:rPr>
        <w:t xml:space="preserve">  "note": "...",</w:t>
      </w:r>
    </w:p>
    <w:p>
      <w:pPr>
        <w:spacing w:after="40" w:before="0"/>
      </w:pPr>
      <w:r>
        <w:rPr>
          <w:rFonts w:ascii="Courier New" w:cs="Courier New" w:eastAsia="Courier New" w:hAnsi="Courier New"/>
          <w:sz w:val="19"/>
          <w:szCs w:val="19"/>
        </w:rPr>
        <w:t xml:space="preserve">  "status": "submitted",</w:t>
      </w:r>
    </w:p>
    <w:p>
      <w:pPr>
        <w:spacing w:after="40" w:before="0"/>
      </w:pPr>
      <w:r>
        <w:rPr>
          <w:rFonts w:ascii="Courier New" w:cs="Courier New" w:eastAsia="Courier New" w:hAnsi="Courier New"/>
          <w:sz w:val="19"/>
          <w:szCs w:val="19"/>
        </w:rPr>
        <w:t xml:space="preserve">  "timestamp": "2026-05-20T09:14:00Z"</w:t>
      </w:r>
    </w:p>
    <w:p>
      <w:pPr>
        <w:spacing w:after="40" w:before="0"/>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campo "free": true identifica i fattori aggiunti a testo libero dal referente (non presenti nella libreria). Questi fattori vengono segnalati al coordinatore come candidati per l’aggiornamento della libreria nella prossima iterazione.</w:t>
            </w:r>
          </w:p>
        </w:tc>
      </w:tr>
    </w:tbl>
    <w:p>
      <w:pPr>
        <w:pStyle w:val="Heading1"/>
      </w:pPr>
      <w:r>
        <w:t xml:space="preserve">8. Struttura del repository e configurazione Netlify</w:t>
      </w:r>
    </w:p>
    <w:p>
      <w:pPr>
        <w:pStyle w:val="Heading2"/>
      </w:pPr>
      <w:r>
        <w:t xml:space="preserve">8.1  Struttura directory</w:t>
      </w:r>
    </w:p>
    <w:p>
      <w:pPr>
        <w:spacing w:after="40" w:before="0"/>
      </w:pPr>
      <w:r>
        <w:rPr>
          <w:rFonts w:ascii="Courier New" w:cs="Courier New" w:eastAsia="Courier New" w:hAnsi="Courier New"/>
          <w:sz w:val="19"/>
          <w:szCs w:val="19"/>
        </w:rPr>
        <w:t xml:space="preserve">sracc-webapp/</w:t>
      </w:r>
    </w:p>
    <w:p>
      <w:pPr>
        <w:spacing w:after="40" w:before="0"/>
      </w:pPr>
      <w:r>
        <w:rPr>
          <w:rFonts w:ascii="Courier New" w:cs="Courier New" w:eastAsia="Courier New" w:hAnsi="Courier New"/>
          <w:sz w:val="19"/>
          <w:szCs w:val="19"/>
        </w:rPr>
        <w:t xml:space="preserve">  /src</w:t>
      </w:r>
    </w:p>
    <w:p>
      <w:pPr>
        <w:spacing w:after="40" w:before="0"/>
      </w:pPr>
      <w:r>
        <w:rPr>
          <w:rFonts w:ascii="Courier New" w:cs="Courier New" w:eastAsia="Courier New" w:hAnsi="Courier New"/>
          <w:sz w:val="19"/>
          <w:szCs w:val="19"/>
        </w:rPr>
        <w:t xml:space="preserve">    /components      -- React components (v. Tab. 4)</w:t>
      </w:r>
    </w:p>
    <w:p>
      <w:pPr>
        <w:spacing w:after="40" w:before="0"/>
      </w:pPr>
      <w:r>
        <w:rPr>
          <w:rFonts w:ascii="Courier New" w:cs="Courier New" w:eastAsia="Courier New" w:hAnsi="Courier New"/>
          <w:sz w:val="19"/>
          <w:szCs w:val="19"/>
        </w:rPr>
        <w:t xml:space="preserve">    /hooks           -- useContributions, useFactors, useAuth</w:t>
      </w:r>
    </w:p>
    <w:p>
      <w:pPr>
        <w:spacing w:after="40" w:before="0"/>
      </w:pPr>
      <w:r>
        <w:rPr>
          <w:rFonts w:ascii="Courier New" w:cs="Courier New" w:eastAsia="Courier New" w:hAnsi="Courier New"/>
          <w:sz w:val="19"/>
          <w:szCs w:val="19"/>
        </w:rPr>
        <w:t xml:space="preserve">    /lib             -- supabaseClient, apiClient</w:t>
      </w:r>
    </w:p>
    <w:p>
      <w:pPr>
        <w:spacing w:after="40" w:before="0"/>
      </w:pPr>
      <w:r>
        <w:rPr>
          <w:rFonts w:ascii="Courier New" w:cs="Courier New" w:eastAsia="Courier New" w:hAnsi="Courier New"/>
          <w:sz w:val="19"/>
          <w:szCs w:val="19"/>
        </w:rPr>
        <w:t xml:space="preserve">    /pages           -- route-level components</w:t>
      </w:r>
    </w:p>
    <w:p>
      <w:pPr>
        <w:spacing w:after="40" w:before="0"/>
      </w:pPr>
      <w:r>
        <w:rPr>
          <w:rFonts w:ascii="Courier New" w:cs="Courier New" w:eastAsia="Courier New" w:hAnsi="Courier New"/>
          <w:sz w:val="19"/>
          <w:szCs w:val="19"/>
        </w:rPr>
        <w:t xml:space="preserve">  /netlify/functions</w:t>
      </w:r>
    </w:p>
    <w:p>
      <w:pPr>
        <w:spacing w:after="40" w:before="0"/>
      </w:pPr>
      <w:r>
        <w:rPr>
          <w:rFonts w:ascii="Courier New" w:cs="Courier New" w:eastAsia="Courier New" w:hAnsi="Courier New"/>
          <w:sz w:val="19"/>
          <w:szCs w:val="19"/>
        </w:rPr>
        <w:t xml:space="preserve">    factors.js       -- GET /api/factors</w:t>
      </w:r>
    </w:p>
    <w:p>
      <w:pPr>
        <w:spacing w:after="40" w:before="0"/>
      </w:pPr>
      <w:r>
        <w:rPr>
          <w:rFonts w:ascii="Courier New" w:cs="Courier New" w:eastAsia="Courier New" w:hAnsi="Courier New"/>
          <w:sz w:val="19"/>
          <w:szCs w:val="19"/>
        </w:rPr>
        <w:t xml:space="preserve">    contributions.js -- GET + POST /api/contributions</w:t>
      </w:r>
    </w:p>
    <w:p>
      <w:pPr>
        <w:spacing w:after="40" w:before="0"/>
      </w:pPr>
      <w:r>
        <w:rPr>
          <w:rFonts w:ascii="Courier New" w:cs="Courier New" w:eastAsia="Courier New" w:hAnsi="Courier New"/>
          <w:sz w:val="19"/>
          <w:szCs w:val="19"/>
        </w:rPr>
        <w:t xml:space="preserve">    ai-classify.js   -- POST /api/ai/classify</w:t>
      </w:r>
    </w:p>
    <w:p>
      <w:pPr>
        <w:spacing w:after="40" w:before="0"/>
      </w:pPr>
      <w:r>
        <w:rPr>
          <w:rFonts w:ascii="Courier New" w:cs="Courier New" w:eastAsia="Courier New" w:hAnsi="Courier New"/>
          <w:sz w:val="19"/>
          <w:szCs w:val="19"/>
        </w:rPr>
        <w:t xml:space="preserve">    ai-overlaps.js   -- POST /api/ai/overlaps</w:t>
      </w:r>
    </w:p>
    <w:p>
      <w:pPr>
        <w:spacing w:after="40" w:before="0"/>
      </w:pPr>
      <w:r>
        <w:rPr>
          <w:rFonts w:ascii="Courier New" w:cs="Courier New" w:eastAsia="Courier New" w:hAnsi="Courier New"/>
          <w:sz w:val="19"/>
          <w:szCs w:val="19"/>
        </w:rPr>
        <w:t xml:space="preserve">    magic-link.js    -- POST /api/magic-link</w:t>
      </w:r>
    </w:p>
    <w:p>
      <w:pPr>
        <w:spacing w:after="40" w:before="0"/>
      </w:pPr>
      <w:r>
        <w:rPr>
          <w:rFonts w:ascii="Courier New" w:cs="Courier New" w:eastAsia="Courier New" w:hAnsi="Courier New"/>
          <w:sz w:val="19"/>
          <w:szCs w:val="19"/>
        </w:rPr>
        <w:t xml:space="preserve">    raci.js          -- GET /api/raci</w:t>
      </w:r>
    </w:p>
    <w:p>
      <w:pPr>
        <w:spacing w:after="40" w:before="0"/>
      </w:pPr>
      <w:r>
        <w:rPr>
          <w:rFonts w:ascii="Courier New" w:cs="Courier New" w:eastAsia="Courier New" w:hAnsi="Courier New"/>
          <w:sz w:val="19"/>
          <w:szCs w:val="19"/>
        </w:rPr>
        <w:t xml:space="preserve">    indicatori.js    -- GET /api/indicatori (§10.3)</w:t>
      </w:r>
    </w:p>
    <w:p>
      <w:pPr>
        <w:spacing w:after="40" w:before="0"/>
      </w:pPr>
      <w:r>
        <w:rPr>
          <w:rFonts w:ascii="Courier New" w:cs="Courier New" w:eastAsia="Courier New" w:hAnsi="Courier New"/>
          <w:sz w:val="19"/>
          <w:szCs w:val="19"/>
        </w:rPr>
        <w:t xml:space="preserve">    indicatori-scelti.js -- GET + POST /api/indicatori-scelti (§10.3)</w:t>
      </w:r>
    </w:p>
    <w:p>
      <w:pPr>
        <w:spacing w:after="40" w:before="0"/>
      </w:pPr>
      <w:r>
        <w:rPr>
          <w:rFonts w:ascii="Courier New" w:cs="Courier New" w:eastAsia="Courier New" w:hAnsi="Courier New"/>
          <w:sz w:val="19"/>
          <w:szCs w:val="19"/>
        </w:rPr>
        <w:t xml:space="preserve">  /scripts</w:t>
      </w:r>
    </w:p>
    <w:p>
      <w:pPr>
        <w:spacing w:after="40" w:before="0"/>
      </w:pPr>
      <w:r>
        <w:rPr>
          <w:rFonts w:ascii="Courier New" w:cs="Courier New" w:eastAsia="Courier New" w:hAnsi="Courier New"/>
          <w:sz w:val="19"/>
          <w:szCs w:val="19"/>
        </w:rPr>
        <w:t xml:space="preserve">    seed-library.js  -- import libreria da XLSX</w:t>
      </w:r>
    </w:p>
    <w:p>
      <w:pPr>
        <w:spacing w:after="40" w:before="0"/>
      </w:pPr>
      <w:r>
        <w:rPr>
          <w:rFonts w:ascii="Courier New" w:cs="Courier New" w:eastAsia="Courier New" w:hAnsi="Courier New"/>
          <w:sz w:val="19"/>
          <w:szCs w:val="19"/>
        </w:rPr>
        <w:t xml:space="preserve">    seed-raci.js     -- import RACI da CSV/JSON</w:t>
      </w:r>
    </w:p>
    <w:p>
      <w:pPr>
        <w:spacing w:after="40" w:before="0"/>
      </w:pPr>
      <w:r>
        <w:rPr>
          <w:rFonts w:ascii="Courier New" w:cs="Courier New" w:eastAsia="Courier New" w:hAnsi="Courier New"/>
          <w:sz w:val="19"/>
          <w:szCs w:val="19"/>
        </w:rPr>
        <w:t xml:space="preserve">    seed-indicatori.js -- import libreria indicatori da XLSX (§10.5)</w:t>
      </w:r>
    </w:p>
    <w:p>
      <w:pPr>
        <w:spacing w:after="40" w:before="0"/>
      </w:pPr>
      <w:r>
        <w:rPr>
          <w:rFonts w:ascii="Courier New" w:cs="Courier New" w:eastAsia="Courier New" w:hAnsi="Courier New"/>
          <w:sz w:val="19"/>
          <w:szCs w:val="19"/>
        </w:rPr>
        <w:t xml:space="preserve">  /public</w:t>
      </w:r>
    </w:p>
    <w:p>
      <w:pPr>
        <w:spacing w:after="40" w:before="0"/>
      </w:pPr>
      <w:r>
        <w:rPr>
          <w:rFonts w:ascii="Courier New" w:cs="Courier New" w:eastAsia="Courier New" w:hAnsi="Courier New"/>
          <w:sz w:val="19"/>
          <w:szCs w:val="19"/>
        </w:rPr>
        <w:t xml:space="preserve">  netlify.toml</w:t>
      </w:r>
    </w:p>
    <w:p>
      <w:pPr>
        <w:spacing w:after="40" w:before="0"/>
      </w:pPr>
      <w:r>
        <w:rPr>
          <w:rFonts w:ascii="Courier New" w:cs="Courier New" w:eastAsia="Courier New" w:hAnsi="Courier New"/>
          <w:sz w:val="19"/>
          <w:szCs w:val="19"/>
        </w:rPr>
        <w:t xml:space="preserve">  .env.example       -- SUPABASE_URL, SUPABASE_SERVICE_KEY, ANTHROPIC_API_KEY</w:t>
      </w:r>
    </w:p>
    <w:p>
      <w:pPr>
        <w:pStyle w:val="Heading2"/>
      </w:pPr>
      <w:r>
        <w:t xml:space="preserve">8.2  Variabili d’ambiente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Variabile</w:t>
            </w:r>
          </w:p>
        </w:tc>
        <w:tc>
          <w:tcPr>
            <w:tcW w:type="dxa" w:w="2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Scope</w:t>
            </w:r>
          </w:p>
        </w:tc>
        <w:tc>
          <w:tcPr>
            <w:tcW w:type="dxa" w:w="4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 + client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URL del progetto Supabase; pubblica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Client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Chiave pubblica Supabase; inclusa nel bundle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SUPABASE_SERVICE_KEY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Chiave con accesso admin; mai nel client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ANTHROPIC_API_KEY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Mai nel client; sempre lato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VITE_SUPABASE_URL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Alias di SUPABASE_URL per Vite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VITE_SUPABASE_ANON_KEY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Alias di SUPABASE_ANON_KEY per Vite</w:t>
            </w:r>
          </w:p>
        </w:tc>
      </w:tr>
    </w:tbl>
    <w:p>
      <w:pPr>
        <w:spacing w:after="240" w:before="80"/>
      </w:pPr>
      <w:r>
        <w:rPr>
          <w:color w:val="555555"/>
          <w:sz w:val="19"/>
          <w:szCs w:val="19"/>
        </w:rPr>
        <w:t xml:space="preserve">Tab. 5 — Variabili d’ambiente. Le chiavi server non devono mai essere incluse nel build client.</w:t>
      </w:r>
    </w:p>
    <w:p>
      <w:pPr>
        <w:pStyle w:val="Heading1"/>
      </w:pPr>
      <w:r>
        <w:t xml:space="preserve">9. Sequenza di sviluppo consigliata</w:t>
      </w:r>
    </w:p>
    <w:p>
      <w:pPr>
        <w:spacing w:after="120" w:before="0"/>
      </w:pPr>
      <w:r>
        <w:t xml:space="preserve">Lo sviluppo su Claude Code è organizzato in sessioni circoscritte, ciascuna con un deliverable verificabile. La sequenza minimizza le dipendenze tra sessioni.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160"/>
        <w:gridCol w:w="24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Infrastruttura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Repo GitHub, Netlify deploy, Supabase progetto, schema DB applicato, variabili d’ambiente configurate, pagina index vuota 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Seed + auth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Script seed-library.js, seed-raci.js; flusso magic link funzionante end-to-end; route /login/:token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 + RACI finale (10 combinazioni) + libreria v1 (provvisoria, Step 1 è sufficiente)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Componenti StepSelector, FactorChips, WeightingPanel, NotesExport; POST /api/contributions; test con un referente reale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AggregatedView, PervasivityView; GET /api/contributions; senza modulo AI sovrapposizioni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S3 con almeno 2 contributi reali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Functions ai-classify e ai-overlaps; integrazione in FactorChips e SignalView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S3–S4</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S6</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Visualizzazioni</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 HeatMap; dati reali da API; deploy su /visualize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Grafo + encoding intensità</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PervasityGraph con encoding definito a valle della riunione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S6 + decisione su criterio intensità</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S8</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 panel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Gestione utenti, RACI editor, configurazione territorio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S2–S5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e hardening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con tutto il gruppo; gestione errori, edge cases, mobile (limitato)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S3–S8</w:t>
            </w:r>
          </w:p>
        </w:tc>
      </w:tr>
    </w:tbl>
    <w:p>
      <w:pPr>
        <w:spacing w:after="240" w:before="80"/>
      </w:pPr>
      <w:r>
        <w:rPr>
          <w:color w:val="555555"/>
          <w:sz w:val="19"/>
          <w:szCs w:val="19"/>
        </w:rPr>
        <w:t xml:space="preserve">Tab. 6 — Sequenza di sviluppo in 9 sessioni. S1–S3 sono il percorso critico: tutto il resto dipende dall’infrastruttura e dall’autenticazione funzionanti.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Nota su S2: il seed della libreria userà la v1 attuale (Step 1, 437 fattori) come dato provvisorio; il re-seed alla versione consolidata (Step 4–5) avverrà a valle, quando strato e peso_suggerito saranno completi. Il database supporta l’upsert: non è distruttivo.</w:t>
            </w:r>
          </w:p>
        </w:tc>
      </w:tr>
    </w:tbl>
    <w:p>
      <w:pPr>
        <w:pStyle w:val="Heading1"/>
      </w:pPr>
      <w:r>
        <w:t xml:space="preserve">10. Modulo di selezione indicatori</w:t>
      </w:r>
    </w:p>
    <w:p>
      <w:pPr>
        <w:spacing w:after="120" w:before="0"/>
      </w:pPr>
      <w:r>
        <w:t xml:space="preserve">Sezione aggiunta nella revisione 3. Descrive una fase di lavoro successiva e distinta rispetto a S1–S9: non riguarda la compilazione della catena d’impatto (fattori, pesatura, pervasività), ma la scelta e pesatura degli indicatori correlati a ciascun field, una volta che la catena d’impatto per quel field è stata validata. Non è prioritaria e non blocca lo sviluppo di S5–S9.</w:t>
      </w:r>
    </w:p>
    <w:p>
      <w:pPr>
        <w:pStyle w:val="Heading2"/>
      </w:pPr>
      <w:r>
        <w:t xml:space="preserve">10.1  Contesto e flusso di lavoro</w:t>
      </w:r>
    </w:p>
    <w:p>
      <w:pPr>
        <w:spacing w:after="120" w:before="0"/>
      </w:pPr>
      <w:r>
        <w:t xml:space="preserve">Il lavoro si articola in due fasi sequenziali sulla stessa combinazione sistema×pericolo×field:</w:t>
      </w:r>
    </w:p>
    <w:p>
      <w:pPr>
        <w:pStyle w:val="ListParagraph"/>
        <w:numPr>
          <w:ilvl w:val="0"/>
          <w:numId w:val="3"/>
        </w:numPr>
        <w:spacing w:after="100"/>
      </w:pPr>
      <w:r>
        <w:t xml:space="preserve">Fase 1 (S1–S9, già in sviluppo): il referente compila la catena d’impatto — selezione dei fattori, pesatura, note — tramite il form a 4 passi. Il contributo risultante ha status draft o submitted.</w:t>
      </w:r>
    </w:p>
    <w:p>
      <w:pPr>
        <w:pStyle w:val="ListParagraph"/>
        <w:numPr>
          <w:ilvl w:val="0"/>
          <w:numId w:val="3"/>
        </w:numPr>
        <w:spacing w:after="100"/>
      </w:pPr>
      <w:r>
        <w:t xml:space="preserve">Chiusura: il coordinatore valida il contributo (nuova azione, v. §10.3); lo status passa a validated. Questo è il segnale che sblocca la fase successiva per quel field specifico.</w:t>
      </w:r>
    </w:p>
    <w:p>
      <w:pPr>
        <w:pStyle w:val="ListParagraph"/>
        <w:numPr>
          <w:ilvl w:val="0"/>
          <w:numId w:val="3"/>
        </w:numPr>
        <w:spacing w:after="100"/>
      </w:pPr>
      <w:r>
        <w:t xml:space="preserve">Fase 2 (questo modulo): lo stesso referente, sugli stessi field di propria competenza RACI, sceglie gli indicatori correlati da una libreria precompilata e ne assegna un peso rispetto al field — stesso schema R/A già usato in fase 1, nessun nuovo sistema di permessi.</w:t>
      </w:r>
    </w:p>
    <w:p>
      <w:pPr>
        <w:spacing w:after="120" w:before="0"/>
      </w:pPr>
      <w:r>
        <w:t xml:space="preserve">Un indicatore ricorre tipicamente su più combinazioni sistema×pericolo pur restando ancorato a specifici impact field (es. un indicatore di capacità adattiva sulla gestione forestale ricorre su più pericoli — incendi, siccità, alluvioni — ma sempre sugli stessi field). Per questo l’analisi per field è spesso più naturale di quella per sistema×pericolo. Con uno schema piatto (una riga per occorrenza, coerente con l’impostazione già usata per i fattori) le due viste convivono senza bisogno di due strutture dati diverse: sono due modi di raggruppare la stessa query — per field, oppure per sistema poi pericolo — non due schemi separati.</w:t>
      </w:r>
    </w:p>
    <w:p>
      <w:pPr>
        <w:pStyle w:val="Heading2"/>
      </w:pPr>
      <w:r>
        <w:t xml:space="preserve">10.2  Estensione dello schema dati</w:t>
      </w:r>
    </w:p>
    <w:p>
      <w:pPr>
        <w:pStyle w:val="Heading3"/>
      </w:pPr>
      <w:r>
        <w:t xml:space="preserve">indicatori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                text NOT NULL</w:t>
      </w:r>
    </w:p>
    <w:p>
      <w:pPr>
        <w:spacing w:after="40" w:before="0"/>
      </w:pPr>
      <w:r>
        <w:rPr>
          <w:rFonts w:ascii="Courier New" w:cs="Courier New" w:eastAsia="Courier New" w:hAnsi="Courier New"/>
          <w:sz w:val="19"/>
          <w:szCs w:val="19"/>
        </w:rPr>
        <w:t xml:space="preserve">componente          text CHECK (componente IN ('Pericolo','Esposizione','Sensibilita','Capacita adattiva'))</w:t>
      </w:r>
    </w:p>
    <w:p>
      <w:pPr>
        <w:spacing w:after="40" w:before="0"/>
      </w:pPr>
      <w:r>
        <w:rPr>
          <w:rFonts w:ascii="Courier New" w:cs="Courier New" w:eastAsia="Courier New" w:hAnsi="Courier New"/>
          <w:sz w:val="19"/>
          <w:szCs w:val="19"/>
        </w:rPr>
        <w:t xml:space="preserve">categoria           text  -- fisico | sociale | economico | organizzativo | naturale | amministrativo | socio-economico (valore libero, non vincolato: la lista non è chiusa nella fonte)</w:t>
      </w:r>
    </w:p>
    <w:p>
      <w:pPr>
        <w:spacing w:after="40" w:before="0"/>
      </w:pPr>
      <w:r>
        <w:rPr>
          <w:rFonts w:ascii="Courier New" w:cs="Courier New" w:eastAsia="Courier New" w:hAnsi="Courier New"/>
          <w:sz w:val="19"/>
          <w:szCs w:val="19"/>
        </w:rPr>
        <w:t xml:space="preserve">tipologia           text CHECK (tipologia IN ('quantitativo','qualitativo') OR tipologia IS NULL)</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descrizione         text</w:t>
      </w:r>
    </w:p>
    <w:p>
      <w:pPr>
        <w:spacing w:after="40" w:before="0"/>
      </w:pPr>
      <w:r>
        <w:rPr>
          <w:rFonts w:ascii="Courier New" w:cs="Courier New" w:eastAsia="Courier New" w:hAnsi="Courier New"/>
          <w:sz w:val="19"/>
          <w:szCs w:val="19"/>
        </w:rPr>
        <w:t xml:space="preserve">unita_misura        text</w:t>
      </w:r>
    </w:p>
    <w:p>
      <w:pPr>
        <w:spacing w:after="40" w:before="0"/>
      </w:pPr>
      <w:r>
        <w:rPr>
          <w:rFonts w:ascii="Courier New" w:cs="Courier New" w:eastAsia="Courier New" w:hAnsi="Courier New"/>
          <w:sz w:val="19"/>
          <w:szCs w:val="19"/>
        </w:rPr>
        <w:t xml:space="preserve">fonte_dato          text</w:t>
      </w:r>
    </w:p>
    <w:p>
      <w:pPr>
        <w:spacing w:after="40" w:before="0"/>
      </w:pPr>
      <w:r>
        <w:rPr>
          <w:rFonts w:ascii="Courier New" w:cs="Courier New" w:eastAsia="Courier New" w:hAnsi="Courier New"/>
          <w:sz w:val="19"/>
          <w:szCs w:val="19"/>
        </w:rPr>
        <w:t xml:space="preserve">link_fonte          text</w:t>
      </w:r>
    </w:p>
    <w:p>
      <w:pPr>
        <w:spacing w:after="40" w:before="0"/>
      </w:pPr>
      <w:r>
        <w:rPr>
          <w:rFonts w:ascii="Courier New" w:cs="Courier New" w:eastAsia="Courier New" w:hAnsi="Courier New"/>
          <w:sz w:val="19"/>
          <w:szCs w:val="19"/>
        </w:rPr>
        <w:t xml:space="preserve">anno                integer</w:t>
      </w:r>
    </w:p>
    <w:p>
      <w:pPr>
        <w:spacing w:after="40" w:before="0"/>
      </w:pPr>
      <w:r>
        <w:rPr>
          <w:rFonts w:ascii="Courier New" w:cs="Courier New" w:eastAsia="Courier New" w:hAnsi="Courier New"/>
          <w:sz w:val="19"/>
          <w:szCs w:val="19"/>
        </w:rPr>
        <w:t xml:space="preserve">clima_osservato     text  -- valorizzato solo per componente = 'Pericolo'</w:t>
      </w:r>
    </w:p>
    <w:p>
      <w:pPr>
        <w:spacing w:after="40" w:before="0"/>
      </w:pPr>
      <w:r>
        <w:rPr>
          <w:rFonts w:ascii="Courier New" w:cs="Courier New" w:eastAsia="Courier New" w:hAnsi="Courier New"/>
          <w:sz w:val="19"/>
          <w:szCs w:val="19"/>
        </w:rPr>
        <w:t xml:space="preserve">clima_futuro_rcp45  text  -- valorizzato solo per componente = 'Pericolo'</w:t>
      </w:r>
    </w:p>
    <w:p>
      <w:pPr>
        <w:spacing w:after="40" w:before="0"/>
      </w:pPr>
      <w:r>
        <w:rPr>
          <w:rFonts w:ascii="Courier New" w:cs="Courier New" w:eastAsia="Courier New" w:hAnsi="Courier New"/>
          <w:sz w:val="19"/>
          <w:szCs w:val="19"/>
        </w:rPr>
        <w:t xml:space="preserve">referenza           text</w:t>
      </w:r>
    </w:p>
    <w:p>
      <w:pPr>
        <w:spacing w:after="40" w:before="0"/>
      </w:pPr>
      <w:r>
        <w:rPr>
          <w:rFonts w:ascii="Courier New" w:cs="Courier New" w:eastAsia="Courier New" w:hAnsi="Courier New"/>
          <w:sz w:val="19"/>
          <w:szCs w:val="19"/>
        </w:rPr>
        <w:t xml:space="preserve">base_layer_gis      text</w:t>
      </w:r>
    </w:p>
    <w:p>
      <w:pPr>
        <w:spacing w:after="40" w:before="0"/>
      </w:pPr>
      <w:r>
        <w:rPr>
          <w:rFonts w:ascii="Courier New" w:cs="Courier New" w:eastAsia="Courier New" w:hAnsi="Courier New"/>
          <w:sz w:val="19"/>
          <w:szCs w:val="19"/>
        </w:rPr>
        <w:t xml:space="preserve">UNIQUE (nome, sistema, pericolo, field,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Tabella nuova e separata da factors: nessuna modifica al CHECK esistente su factors.componente. Le colonne di revisione presenti nel file sorgente (Referente, Commenti, Risposte ai commenti, Risposte a Guglielmo, Note) sono escluse dal seed per decisione esplicita (v. §10.5): sono workflow di validazione interno al team tecnico, non dati applicativi per i referenti.</w:t>
            </w:r>
          </w:p>
        </w:tc>
      </w:tr>
    </w:tbl>
    <w:p>
      <w:pPr>
        <w:pStyle w:val="Heading3"/>
      </w:pPr>
      <w:r>
        <w:t xml:space="preserve">indicatori_scelti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indicatori    jsonb NOT NULL  -- array di {indicatore_id, nome, componente, peso}</w:t>
      </w:r>
    </w:p>
    <w:p>
      <w:pPr>
        <w:spacing w:after="40" w:before="0"/>
      </w:pPr>
      <w:r>
        <w:rPr>
          <w:rFonts w:ascii="Courier New" w:cs="Courier New" w:eastAsia="Courier New" w:hAnsi="Courier New"/>
          <w:sz w:val="19"/>
          <w:szCs w:val="19"/>
        </w:rPr>
        <w:t xml:space="preserve">status        text DEFAULT 'draft'  -- draft | submitted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 xml:space="preserve">RLS identica a contributions: lettura libera nel territorio, scrittura solo sui field assegnati (R o A) nel RACI, coordinatore bypassa. La scala di peso è assunta identica a quella dei fattori (Determinante/Rilevante/Marginale) — v. questione aperta C2 in Tab. 9.</w:t>
      </w:r>
    </w:p>
    <w:p>
      <w:pPr>
        <w:pStyle w:val="Heading2"/>
      </w:pPr>
      <w:r>
        <w:t xml:space="preserve">10.3  Endpoint aggiuntivi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00"/>
        <w:gridCol w:w="24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9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/api/contributions/validate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Marca come validated tutti i contributi esistenti per una combinazione sistema/pericolo/field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è l’azione che chiude la fase 1 e sblocca la fase 2 per quel field (v. questione C1 in Tab. 9 sul caso co-referenti)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/api/indicatori?sistema=&amp;pericolo=&amp;field=&amp;componente=</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gli indicatori di libreria per la combinazione richiesta</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Stesso pattern di /api/factors; il filtro componente supporta sia la vista per field sia quella per componente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/api/indicatori-scelti?sistema=&amp;pericolo=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le scelte di indicatori del territorio per la combinazione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Stesso pattern di /api/contributions: coordinatore vede tutto, referente solo i propri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/api/indicatori-scelti</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Crea o aggiorna una selezione di indicatori con pesi</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Verifica RACI come per /api/contributions, più verifica che il contributo corrispondente sia validated: altrimenti rifiuta con 403</w:t>
            </w:r>
          </w:p>
        </w:tc>
      </w:tr>
    </w:tbl>
    <w:p>
      <w:pPr>
        <w:spacing w:after="240" w:before="80"/>
      </w:pPr>
      <w:r>
        <w:rPr>
          <w:color w:val="555555"/>
          <w:sz w:val="19"/>
          <w:szCs w:val="19"/>
        </w:rPr>
        <w:t xml:space="preserve">Tab. 7 — Endpoint del modulo indicatori.</w:t>
      </w:r>
    </w:p>
    <w:p>
      <w:pPr>
        <w:pStyle w:val="Heading2"/>
      </w:pPr>
      <w:r>
        <w:t xml:space="preserve">10.4  Frontend: nuova route e componente</w:t>
      </w:r>
    </w:p>
    <w:p>
      <w:pPr>
        <w:spacing w:after="120" w:before="0"/>
      </w:pPr>
      <w:r>
        <w:t xml:space="preserve">Nuova route /indicatori (Tab. 3), componente IndicatorSelector: riusa il pattern già collaudato di FactorChips + WeightingPanel (selezione, poi pesatura per field), non un semplice selettore a spunta. La vista è raggruppabile a scelta per field o per sistema×pericolo (v. §10.1): stessa query, raggruppamento diverso lato client. Accesso: Contributor e Coordinator, ma la route è attiva su un field solo se il contributo corrispondente ha status validated e l’utente ha ruolo R o A su quel field nel RACI — stessa logica di guardia già usata per CoordinatorView, applicata qui a livello di field invece che di intera vista.</w:t>
      </w:r>
    </w:p>
    <w:p>
      <w:pPr>
        <w:spacing w:after="120" w:before="0"/>
      </w:pPr>
      <w:r>
        <w:t xml:space="preserve">La CoordinatorView (§4.2, Tab. 4) si estende con l’azione di validazione descritta in Tab. 7; la Dashboard (/) si aggiorna per instradare verso /indicatori quando disponibile per il referente.</w:t>
      </w:r>
    </w:p>
    <w:p>
      <w:pPr>
        <w:pStyle w:val="Heading2"/>
      </w:pPr>
      <w:r>
        <w:t xml:space="preserve">10.5  Seed della libreria indicatori</w:t>
      </w:r>
    </w:p>
    <w:p>
      <w:pPr>
        <w:spacing w:after="120" w:before="0"/>
      </w:pPr>
      <w:r>
        <w:t xml:space="preserve">Fonte: PAC_BarigaduGuilcer_Step_5_Lista_Indicatori_Unificata_v2.xlsx, foglio Indicatori_Unificati (713 righe, una per occorrenza indicatore×tavola). Script /scripts/seed-indicatori.js: legge il foglio, deriva sistema e pericolo dalla tavola di origine, deriva componente dalla colonna “tipologia indicatore” (pericolo/esposizione/sensitività/capacità adattiva → Pericolo/Esposizione/Sensibilita/Capacita adattiva, coerente col CHECK), ed espande la colonna “Impact field” — oggi una lista di field separati da virgola sulla stessa riga — in una riga per field, con lo stesso trattamento già usato per la libreria fattori. Le colonne di revisione (Referente, Commenti, Risposte ai commenti, Risposte a Guglielmo, Note) sono escluse dal seed. Upsert bulk con chiave (nome, sistema, pericolo, field, componente).</w:t>
      </w:r>
    </w:p>
    <w:p>
      <w:pPr>
        <w:spacing w:after="120" w:before="0"/>
      </w:pPr>
      <w:r>
        <w:t xml:space="preserve">Il foglio Indicatori_Unici (166 righe, indicatori deduplicati con conteggio delle occorrenze) non viene importato: è lo strumento di lavoro del team di validazione per individuare le ricorrenze, analogo al foglio Ricorrenze della libreria fattori — utile per la revisione umana, non è la fonte del seed.</w:t>
      </w:r>
    </w:p>
    <w:p>
      <w:pPr>
        <w:pStyle w:val="Heading2"/>
      </w:pPr>
      <w:r>
        <w:t xml:space="preserve">10.6  Sequenza di sviluppo del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300"/>
        <w:gridCol w:w="17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1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Seed indicatori + validazione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Tabelle indicatori e indicatori_scelti; script seed-indicatori.js; endpoint e bottone di validazione contributi in CoordinatorView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 completata (fase 1 stabile in produzione)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Selezione e pesatura indicatori</w:t>
            </w:r>
          </w:p>
        </w:tc>
        <w:tc>
          <w:tcPr>
            <w:tcW w:type="dxa" w:w="4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Route /indicatori, componente IndicatorSelector (selezione + peso, raggruppamento per field o per sistema×pericolo); GET/POST /api/indicatori e /api/indicatori-scelti; test con almeno un field validato e un referente reale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S10 + almeno un contributo validated disponibile per il test</w:t>
            </w:r>
          </w:p>
        </w:tc>
      </w:tr>
    </w:tbl>
    <w:p>
      <w:pPr>
        <w:spacing w:after="240" w:before="80"/>
      </w:pPr>
      <w:r>
        <w:rPr>
          <w:color w:val="555555"/>
          <w:sz w:val="19"/>
          <w:szCs w:val="19"/>
        </w:rPr>
        <w:t xml:space="preserve">Tab. 8 — Sequenza di sviluppo del modulo indicatori.</w:t>
      </w:r>
    </w:p>
    <w:p>
      <w:pPr>
        <w:pStyle w:val="Heading1"/>
      </w:pPr>
      <w:r>
        <w:t xml:space="preserve">11. Questioni aperte che bloccano o condizionano lo sviluppo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4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Questione</w:t>
            </w:r>
          </w:p>
        </w:tc>
        <w:tc>
          <w:tcPr>
            <w:tcW w:type="dxa" w:w="39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Impatto sul development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Criterio di aggregazione per la heatmap (massimo vs media ponderata)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Condiziona l’implementazione di HeatMap in S6; decidere prima di S6</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Encoding intensità nel grafo (spessore, opacità, contribuzione totale)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Blocca S7; decidere a valle della riunione con il gruppo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RISOLTO — RACI su 10 combinazioni, nessuna automazione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Confermate 10 combinazioni sistema×pericolo (non 9, v. tavole catene d’impatto e indicatori); l’assegnazione R/A/C/I resta manuale, senza automazione software — non blocca più 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B4</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Libreria fattori (v1) ferma allo Step 1</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Strato da completare (VR), peso_suggerito e fonte_std largamente da compilare; condiziona la qualità del seed, non blocca S2: si parte con v1 e si ri-esegue il seed a Step 4–5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Navigazione per elemento impattato: priorità di sviluppo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Se Sì: aggiungere route /element/:id e indice inverso sulla libreria tra S6 e S8</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B6</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Integrazione LCZ nella vista WebGIS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Fase 2; non blocca il deployment iniziale; richiede Mapbox GL JS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Field con più referenti (co-referenti R+A): la fase indicatori si sblocca solo quando TUTTI i contributi del field sono validated, o basta il primo?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Nuova (§10) — condiziona la logica di /api/contributions/validate; decidere prima di S10</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Scala di peso per gli indicatori: identica a quella dei fattori (Determinante/Rilevante/Marginale) o scala dedicata?</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Nuova (§10) — assunta identica ai fattori nello schema attuale; decidere prima di S11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Lo stato di validazione degli indicatori (colonne di revisione escluse dal seed, es. “Ammesso”/“da discutere”) va tracciato nell’app o resta solo nel foglio di lavoro esterno?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Nuova (§10) — assunto per ora: resta fuori dall’app; da confermare prima di S10</w:t>
            </w:r>
          </w:p>
        </w:tc>
      </w:tr>
    </w:tbl>
    <w:p>
      <w:pPr>
        <w:spacing w:after="240" w:before="80"/>
      </w:pPr>
      <w:r>
        <w:rPr>
          <w:color w:val="555555"/>
          <w:sz w:val="19"/>
          <w:szCs w:val="19"/>
        </w:rPr>
        <w:t xml:space="preserve">Tab. 9 — Questioni aperte con impatto sul development. B1, B2 e B5 restano bloccanti o condizionanti e richiedono una decisione; B3 è risolto dalla revisione 2; B4 e B6 sono gestibili in corso d’opera; C1–C3 sono nuove in questa revisione e riguardano il modulo indicatori (§10), non bloccano S5–S9.</w:t>
      </w:r>
    </w:p>
    <w:p>
      <w:pPr>
        <w:spacing w:before="400"/>
        <w:jc w:val="center"/>
      </w:pPr>
      <w:r>
        <w:rPr>
          <w:color w:val="777777"/>
          <w:sz w:val="18"/>
          <w:szCs w:val="18"/>
        </w:rPr>
        <w:t xml:space="preserve">Rete Gaia Srl  ·  SRACC Barigadu Guilcer  ·  Specifica tecnica deployment  ·  Revisione 3, Luglio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5A88"/>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2E5A8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2026-07-08T15:08:57.523Z</dcterms:created>
  <dcterms:modified xsi:type="dcterms:W3CDTF">2026-07-08T15:08:57.524Z</dcterms:modified>
</cp:coreProperties>
</file>

<file path=docProps/custom.xml><?xml version="1.0" encoding="utf-8"?>
<Properties xmlns="http://schemas.openxmlformats.org/officeDocument/2006/custom-properties" xmlns:vt="http://schemas.openxmlformats.org/officeDocument/2006/docPropsVTypes"/>
</file>