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b/>
          <w:bCs/>
          <w:color w:val="595959"/>
          <w:spacing w:val="20"/>
          <w:sz w:val="22"/>
          <w:szCs w:val="22"/>
        </w:rPr>
        <w:t xml:space="preserve">RETE GAIA SRL</w:t>
      </w:r>
    </w:p>
    <w:p>
      <w:pPr>
        <w:spacing w:after="0" w:before="100"/>
        <w:jc w:val="center"/>
      </w:pPr>
      <w:r>
        <w:rPr>
          <w:i/>
          <w:iCs/>
          <w:color w:val="595959"/>
          <w:sz w:val="18"/>
          <w:szCs w:val="18"/>
        </w:rPr>
        <w:t xml:space="preserve">Sviluppo locale sostenibile</w:t>
      </w:r>
    </w:p>
    <w:p>
      <w:pPr>
        <w:spacing w:after="0" w:before="900"/>
        <w:jc w:val="center"/>
      </w:pPr>
      <w:r>
        <w:rPr>
          <w:b/>
          <w:bCs/>
          <w:color w:val="2F5D50"/>
          <w:sz w:val="64"/>
          <w:szCs w:val="64"/>
        </w:rPr>
        <w:t xml:space="preserve">SRACC</w:t>
      </w:r>
    </w:p>
    <w:p>
      <w:pPr>
        <w:spacing w:after="200" w:before="0"/>
        <w:jc w:val="center"/>
      </w:pPr>
      <w:r>
        <w:rPr>
          <w:i/>
          <w:iCs/>
          <w:color w:val="B8862B"/>
          <w:sz w:val="24"/>
          <w:szCs w:val="24"/>
        </w:rPr>
        <w:t xml:space="preserve">Sistema di Rilevazione e Analisi delle Catene climatiche</w:t>
      </w:r>
    </w:p>
    <w:p>
      <w:pPr>
        <w:spacing w:after="0" w:before="400"/>
        <w:jc w:val="center"/>
      </w:pPr>
      <w:r>
        <w:rPr>
          <w:b/>
          <w:bCs/>
          <w:sz w:val="36"/>
          <w:szCs w:val="36"/>
        </w:rPr>
        <w:t xml:space="preserve">Guida all'uso della piattaforma</w:t>
      </w:r>
    </w:p>
    <w:p>
      <w:pPr>
        <w:spacing w:after="0" w:before="100"/>
        <w:jc w:val="center"/>
      </w:pPr>
      <w:r>
        <w:rPr>
          <w:color w:val="595959"/>
          <w:sz w:val="24"/>
          <w:szCs w:val="24"/>
        </w:rPr>
        <w:t xml:space="preserve">SRACC Barigadu Guilcer — per il gruppo di lavoro disciplinare</w:t>
      </w:r>
    </w:p>
    <w:p>
      <w:pPr>
        <w:spacing w:after="0" w:before="600"/>
        <w:jc w:val="center"/>
      </w:pPr>
      <w:r>
        <w:rPr>
          <w:i/>
          <w:iCs/>
          <w:color w:val="595959"/>
          <w:sz w:val="20"/>
          <w:szCs w:val="20"/>
        </w:rPr>
        <w:t xml:space="preserve">Come funziona lo strumento, cosa permette di fare, e cosa resta da completare</w:t>
      </w:r>
    </w:p>
    <w:p>
      <w:pPr>
        <w:spacing w:after="0" w:before="1200"/>
        <w:jc w:val="center"/>
      </w:pPr>
      <w:r>
        <w:rPr>
          <w:sz w:val="20"/>
          <w:szCs w:val="20"/>
        </w:rPr>
        <w:t xml:space="preserve">Andrea Vallebona — Rete Gaia Srl</w:t>
      </w:r>
    </w:p>
    <w:p>
      <w:pPr>
        <w:spacing w:after="0" w:before="60"/>
        <w:jc w:val="center"/>
      </w:pPr>
      <w:r>
        <w:rPr>
          <w:color w:val="595959"/>
          <w:sz w:val="20"/>
          <w:szCs w:val="20"/>
        </w:rPr>
        <w:t xml:space="preserve">Luglio 2026 · versione aggiornata</w:t>
      </w:r>
    </w:p>
    <w:p>
      <w:r>
        <w:br w:type="page"/>
      </w:r>
    </w:p>
    <w:p>
      <w:pPr>
        <w:pStyle w:val="Heading1"/>
        <w:pBdr>
          <w:bottom w:val="single" w:color="2F5D50" w:sz="8" w:space="4"/>
        </w:pBdr>
        <w:spacing w:after="200" w:before="480"/>
      </w:pPr>
      <w:r>
        <w:rPr>
          <w:b/>
          <w:bCs/>
          <w:color w:val="2F5D50"/>
          <w:sz w:val="30"/>
          <w:szCs w:val="30"/>
        </w:rPr>
        <w:t xml:space="preserve">Introduzione</w:t>
      </w:r>
    </w:p>
    <w:p>
      <w:pPr>
        <w:spacing w:after="180" w:line="300"/>
        <w:jc w:val="both"/>
      </w:pPr>
      <w:r>
        <w:rPr>
          <w:b/>
          <w:bCs/>
        </w:rPr>
        <w:t xml:space="preserve">SRACC</w:t>
      </w:r>
      <w:r>
        <w:rPr>
          <w:sz w:val="22"/>
          <w:szCs w:val="22"/>
        </w:rPr>
        <w:t xml:space="preserve"> è la piattaforma web con cui il gruppo di lavoro costruisce, in modo condiviso e tracciabile, le catene di impatto climatico previste dal Piano di Adattamento ai Cambiamenti Climatici (PAC) — a partire dal territorio del Barigadu Guilcer, primo caso d'uso, con altri territori già in arrivo. Ogni referente disciplinare contribuisce sulle combinazioni sistema×pericolo×campo di propria competenza; il coordinatore aggrega, valida e restituisce una lettura d'insieme del rischio.</w:t>
      </w:r>
    </w:p>
    <w:p>
      <w:pPr>
        <w:spacing w:after="180" w:line="300"/>
        <w:jc w:val="both"/>
      </w:pPr>
      <w:r>
        <w:rPr>
          <w:sz w:val="22"/>
          <w:szCs w:val="22"/>
        </w:rPr>
        <w:t xml:space="preserve">Questa guida precede l'invito ad accedere alla piattaforma ed è pensata per accompagnare il gruppo dall'inizio: è divisa in due parti. </w:t>
      </w:r>
      <w:r>
        <w:rPr>
          <w:b/>
          <w:bCs/>
        </w:rPr>
        <w:t xml:space="preserve">La Parte 1</w:t>
      </w:r>
      <w:r>
        <w:rPr>
          <w:sz w:val="22"/>
          <w:szCs w:val="22"/>
        </w:rPr>
        <w:t xml:space="preserve"> descrive come funziona lo strumento in generale e resta valida anche nelle fasi successive del lavoro, ben oltre il Barigadu Guilcer. </w:t>
      </w:r>
      <w:r>
        <w:rPr>
          <w:b/>
          <w:bCs/>
        </w:rPr>
        <w:t xml:space="preserve">La Parte 2</w:t>
      </w:r>
      <w:r>
        <w:rPr>
          <w:sz w:val="22"/>
          <w:szCs w:val="22"/>
        </w:rPr>
        <w:t xml:space="preserve"> riguarda specificamente cosa c'è da fare adesso.</w:t>
      </w:r>
    </w:p>
    <w:p>
      <w:pPr>
        <w:spacing w:after="180" w:line="300"/>
        <w:jc w:val="both"/>
      </w:pPr>
      <w:r>
        <w:rPr>
          <w:sz w:val="22"/>
          <w:szCs w:val="22"/>
        </w:rPr>
        <w:t xml:space="preserve">Un punto importante prima di iniziare: il lavoro di individuazione dei fattori delle catene di impatto per il Barigadu Guilcer </w:t>
      </w:r>
      <w:r>
        <w:rPr>
          <w:b/>
          <w:bCs/>
        </w:rPr>
        <w:t xml:space="preserve">è già stato completamente integrato</w:t>
      </w:r>
      <w:r>
        <w:rPr>
          <w:sz w:val="22"/>
          <w:szCs w:val="22"/>
        </w:rPr>
        <w:t xml:space="preserve"> nella piattaforma. Non si riparte da zero — i fattori identificati nel lavoro già svolto sono già inseriti, combinazione per combinazione. Quello che manca, e che è l'oggetto di questa fase, è la </w:t>
      </w:r>
      <w:r>
        <w:rPr>
          <w:b/>
          <w:bCs/>
        </w:rPr>
        <w:t xml:space="preserve">pesatura</w:t>
      </w:r>
      <w:r>
        <w:rPr>
          <w:sz w:val="22"/>
          <w:szCs w:val="22"/>
        </w:rPr>
        <w:t xml:space="preserve"> di quei fattori secondo la propria competenza disciplinare, e poi degli indicatori collegati.</w:t>
      </w:r>
    </w:p>
    <w:p>
      <w:pPr>
        <w:spacing w:after="180" w:line="300"/>
        <w:jc w:val="both"/>
      </w:pPr>
      <w:r>
        <w:rPr>
          <w:sz w:val="22"/>
          <w:szCs w:val="22"/>
        </w:rPr>
        <w:t xml:space="preserve">Vale la pena spendere due righe su cosa rende SRACC utile al di là dell'adempimento tecnico — perché è pensato per restare uno strumento di lavoro, non solo un archivio.</w:t>
      </w:r>
    </w:p>
    <w:tbl>
      <w:tblPr>
        <w:tblW w:type="dxa" w:w="9020"/>
        <w:tblBorders>
          <w:top w:val="single" w:color="2F5D50" w:sz="6"/>
          <w:left w:val="single" w:color="2F5D50" w:sz="6"/>
          <w:bottom w:val="single" w:color="2F5D50" w:sz="6"/>
          <w:right w:val="single" w:color="2F5D50" w:sz="6"/>
          <w:insideH w:val="none" w:color="FFFFFF" w:sz="0"/>
          <w:insideV w:val="none" w:color="FFFFFF" w:sz="0"/>
        </w:tblBorders>
      </w:tblPr>
      <w:tblGrid>
        <w:gridCol w:w="9020"/>
      </w:tblGrid>
      <w:tr>
        <w:tc>
          <w:tcPr>
            <w:tcW w:type="dxa" w:w="9020"/>
            <w:shd w:fill="E8F0EC" w:color="auto" w:val="clear"/>
            <w:tcMar>
              <w:top w:type="dxa" w:w="200"/>
              <w:left w:type="dxa" w:w="260"/>
              <w:bottom w:type="dxa" w:w="200"/>
              <w:right w:type="dxa" w:w="260"/>
            </w:tcMar>
          </w:tcPr>
          <w:p>
            <w:pPr>
              <w:spacing w:after="160"/>
            </w:pPr>
            <w:r>
              <w:rPr>
                <w:b/>
                <w:bCs/>
                <w:color w:val="2F5D50"/>
                <w:sz w:val="24"/>
                <w:szCs w:val="24"/>
              </w:rPr>
              <w:t xml:space="preserve">Cosa puoi fare con SRACC</w:t>
            </w:r>
          </w:p>
          <w:p>
            <w:pPr>
              <w:pStyle w:val="ListParagraph"/>
              <w:numPr>
                <w:ilvl w:val="0"/>
                <w:numId w:val="2"/>
              </w:numPr>
              <w:spacing w:after="110"/>
            </w:pPr>
            <w:r>
              <w:rPr>
                <w:b/>
                <w:bCs/>
                <w:color w:val="2F5D50"/>
                <w:sz w:val="22"/>
                <w:szCs w:val="22"/>
              </w:rPr>
              <w:t xml:space="preserve">Costruire catene di impatto guidate</w:t>
            </w:r>
            <w:r>
              <w:rPr>
                <w:sz w:val="22"/>
                <w:szCs w:val="22"/>
              </w:rPr>
              <w:t xml:space="preserve">  un percorso a passi (sistema → pericolo → campo → fattori → pesatura) che struttura il ragionamento invece di lasciarlo a un foglio bianco.</w:t>
            </w:r>
          </w:p>
          <w:p>
            <w:pPr>
              <w:pStyle w:val="ListParagraph"/>
              <w:numPr>
                <w:ilvl w:val="0"/>
                <w:numId w:val="2"/>
              </w:numPr>
              <w:spacing w:after="110"/>
            </w:pPr>
            <w:r>
              <w:rPr>
                <w:b/>
                <w:bCs/>
                <w:color w:val="2F5D50"/>
                <w:sz w:val="22"/>
                <w:szCs w:val="22"/>
              </w:rPr>
              <w:t xml:space="preserve">Lavorare su una libreria condivisa e già popolata</w:t>
            </w:r>
            <w:r>
              <w:rPr>
                <w:sz w:val="22"/>
                <w:szCs w:val="22"/>
              </w:rPr>
              <w:t xml:space="preserve">  fattori, indicatori e impatti attesi comuni a tutto il gruppo, riutilizzabile anche sui prossimi territori.</w:t>
            </w:r>
          </w:p>
          <w:p>
            <w:pPr>
              <w:pStyle w:val="ListParagraph"/>
              <w:numPr>
                <w:ilvl w:val="0"/>
                <w:numId w:val="2"/>
              </w:numPr>
              <w:spacing w:after="110"/>
            </w:pPr>
            <w:r>
              <w:rPr>
                <w:b/>
                <w:bCs/>
                <w:color w:val="2F5D50"/>
                <w:sz w:val="22"/>
                <w:szCs w:val="22"/>
              </w:rPr>
              <w:t xml:space="preserve">Ricevere un aiuto nella classificazione</w:t>
            </w:r>
            <w:r>
              <w:rPr>
                <w:sz w:val="22"/>
                <w:szCs w:val="22"/>
              </w:rPr>
              <w:t xml:space="preserve">  quando aggiungi un fattore che non è ancora in libreria, uno strumento automatico propone la componente più adatta (Esposizione, Sensibilità, Capacità adattiva) — resta sempre modificabile, l'ultima parola è tua.</w:t>
            </w:r>
          </w:p>
          <w:p>
            <w:pPr>
              <w:pStyle w:val="ListParagraph"/>
              <w:numPr>
                <w:ilvl w:val="0"/>
                <w:numId w:val="2"/>
              </w:numPr>
              <w:spacing w:after="110"/>
            </w:pPr>
            <w:r>
              <w:rPr>
                <w:b/>
                <w:bCs/>
                <w:color w:val="2F5D50"/>
                <w:sz w:val="22"/>
                <w:szCs w:val="22"/>
              </w:rPr>
              <w:t xml:space="preserve">Vedere il rischio aggregato del territorio</w:t>
            </w:r>
            <w:r>
              <w:rPr>
                <w:sz w:val="22"/>
                <w:szCs w:val="22"/>
              </w:rPr>
              <w:t xml:space="preserve">  diagrammi bow-tie, mappa di calore e grafo di pervasività trasformano decine di contributi individuali in una lettura d'insieme, senza dover ricostruire nulla a mano.</w:t>
            </w:r>
          </w:p>
          <w:p>
            <w:pPr>
              <w:pStyle w:val="ListParagraph"/>
              <w:numPr>
                <w:ilvl w:val="0"/>
                <w:numId w:val="2"/>
              </w:numPr>
              <w:spacing w:after="110"/>
            </w:pPr>
            <w:r>
              <w:rPr>
                <w:b/>
                <w:bCs/>
                <w:color w:val="2F5D50"/>
                <w:sz w:val="22"/>
                <w:szCs w:val="22"/>
              </w:rPr>
              <w:t xml:space="preserve">Esportare il lavoro in un clic</w:t>
            </w:r>
            <w:r>
              <w:rPr>
                <w:sz w:val="22"/>
                <w:szCs w:val="22"/>
              </w:rPr>
              <w:t xml:space="preserve">  Word o Excel, organizzato per sistema×pericolo o per campo d'impatto, pronto per la reportistica del PAC.</w:t>
            </w:r>
          </w:p>
          <w:p>
            <w:pPr>
              <w:pStyle w:val="ListParagraph"/>
              <w:numPr>
                <w:ilvl w:val="0"/>
                <w:numId w:val="2"/>
              </w:numPr>
              <w:spacing w:after="110"/>
            </w:pPr>
            <w:r>
              <w:rPr>
                <w:b/>
                <w:bCs/>
                <w:color w:val="2F5D50"/>
                <w:sz w:val="22"/>
                <w:szCs w:val="22"/>
              </w:rPr>
              <w:t xml:space="preserve">Riprendere il lavoro senza rischi</w:t>
            </w:r>
            <w:r>
              <w:rPr>
                <w:sz w:val="22"/>
                <w:szCs w:val="22"/>
              </w:rPr>
              <w:t xml:space="preserve">  se torni su un campo già inviato o già validato, la piattaforma ricarica tutto quello che avevi già inserito: nessuna perdita di lavoro, nessuna retrocessione accidentale dello stato.</w:t>
            </w:r>
          </w:p>
          <w:p>
            <w:pPr>
              <w:pStyle w:val="ListParagraph"/>
              <w:numPr>
                <w:ilvl w:val="0"/>
                <w:numId w:val="2"/>
              </w:numPr>
              <w:spacing w:after="110"/>
            </w:pPr>
            <w:r>
              <w:rPr>
                <w:b/>
                <w:bCs/>
                <w:color w:val="2F5D50"/>
                <w:sz w:val="22"/>
                <w:szCs w:val="22"/>
              </w:rPr>
              <w:t xml:space="preserve">Ricominciare senza timori, se serve</w:t>
            </w:r>
            <w:r>
              <w:rPr>
                <w:sz w:val="22"/>
                <w:szCs w:val="22"/>
              </w:rPr>
              <w:t xml:space="preserve">  una scheda (catena d'impatto o indicatori) si può resettare — torna vuota, pronta per essere ricompilata da capo; il coordinatore può farlo su qualunque scheda, anche già validata.</w:t>
            </w:r>
          </w:p>
          <w:p>
            <w:pPr>
              <w:pStyle w:val="ListParagraph"/>
              <w:numPr>
                <w:ilvl w:val="0"/>
                <w:numId w:val="2"/>
              </w:numPr>
              <w:spacing w:after="110"/>
            </w:pPr>
            <w:r>
              <w:rPr>
                <w:b/>
                <w:bCs/>
                <w:color w:val="2F5D50"/>
                <w:sz w:val="22"/>
                <w:szCs w:val="22"/>
              </w:rPr>
              <w:t xml:space="preserve">Accedere in modo semplice e sicuro</w:t>
            </w:r>
            <w:r>
              <w:rPr>
                <w:sz w:val="22"/>
                <w:szCs w:val="22"/>
              </w:rPr>
              <w:t xml:space="preserve">  nessuna password da ricordare o perdere: un link personale via email, a uso singolo, basta per entrare.</w:t>
            </w:r>
          </w:p>
          <w:p>
            <w:pPr>
              <w:pStyle w:val="ListParagraph"/>
              <w:numPr>
                <w:ilvl w:val="0"/>
                <w:numId w:val="2"/>
              </w:numPr>
              <w:spacing w:after="110"/>
            </w:pPr>
            <w:r>
              <w:rPr>
                <w:b/>
                <w:bCs/>
                <w:color w:val="2F5D50"/>
                <w:sz w:val="22"/>
                <w:szCs w:val="22"/>
              </w:rPr>
              <w:t xml:space="preserve">Estendersi ad altri territori</w:t>
            </w:r>
            <w:r>
              <w:rPr>
                <w:sz w:val="22"/>
                <w:szCs w:val="22"/>
              </w:rPr>
              <w:t xml:space="preserve">  stesso gruppo, stessa utenza, più aree di analisi — la scelta del territorio su cui operare è parte del percorso di accesso.</w:t>
            </w:r>
          </w:p>
        </w:tc>
      </w:tr>
    </w:tbl>
    <w:p>
      <w:pPr>
        <w:spacing w:after="100" w:line="300"/>
        <w:jc w:val="both"/>
      </w:pPr>
      <w:r>
        <w:rPr>
          <w:sz w:val="22"/>
          <w:szCs w:val="22"/>
        </w:rPr>
        <w:t xml:space="preserve">Nelle pagine che seguono trovi il dettaglio di ciascuna di queste funzioni, e cosa serve fare, in concreto, nella fase attuale.</w:t>
      </w:r>
    </w:p>
    <w:p>
      <w:pPr>
        <w:pStyle w:val="Heading1"/>
        <w:pBdr>
          <w:bottom w:val="single" w:color="2F5D50" w:sz="8" w:space="4"/>
        </w:pBdr>
        <w:spacing w:after="200" w:before="480"/>
      </w:pPr>
      <w:r>
        <w:rPr>
          <w:b/>
          <w:bCs/>
          <w:color w:val="2F5D50"/>
          <w:sz w:val="30"/>
          <w:szCs w:val="30"/>
        </w:rPr>
        <w:t xml:space="preserve">Parte 1 — Come funziona lo strumento</w:t>
      </w:r>
    </w:p>
    <w:p>
      <w:pPr>
        <w:spacing w:after="180" w:line="300"/>
        <w:jc w:val="both"/>
      </w:pPr>
      <w:r>
        <w:rPr>
          <w:sz w:val="22"/>
          <w:szCs w:val="22"/>
        </w:rPr>
        <w:t xml:space="preserve">Questa parte descrive il funzionamento generale della piattaforma ed è pensata per restare valida anche nelle fasi successive del lavoro, non solo in questa — vale la pena tenerla a portata di mano anche più avanti.</w:t>
      </w:r>
    </w:p>
    <w:p>
      <w:pPr>
        <w:pStyle w:val="Heading2"/>
        <w:spacing w:after="120" w:before="320"/>
      </w:pPr>
      <w:r>
        <w:rPr>
          <w:b/>
          <w:bCs/>
          <w:color w:val="2F5D50"/>
          <w:sz w:val="24"/>
          <w:szCs w:val="24"/>
        </w:rPr>
        <w:t xml:space="preserve">1.1  Accesso</w:t>
      </w:r>
    </w:p>
    <w:p>
      <w:pPr>
        <w:spacing w:after="180" w:line="300"/>
        <w:jc w:val="both"/>
      </w:pPr>
      <w:r>
        <w:rPr>
          <w:sz w:val="22"/>
          <w:szCs w:val="22"/>
        </w:rPr>
        <w:t xml:space="preserve">Non serve una password. Arriva un'email con un link personale (</w:t>
      </w:r>
      <w:r>
        <w:rPr>
          <w:i/>
          <w:iCs/>
        </w:rPr>
        <w:t xml:space="preserve">magic link</w:t>
      </w:r>
      <w:r>
        <w:rPr>
          <w:sz w:val="22"/>
          <w:szCs w:val="22"/>
        </w:rPr>
        <w:t xml:space="preserve">): cliccandolo si entra direttamente nella piattaforma con la propria utenza. Il link è a uso singolo e scade dopo 24 ore.</w:t>
      </w:r>
    </w:p>
    <w:p>
      <w:pPr>
        <w:spacing w:after="180" w:line="300"/>
        <w:jc w:val="both"/>
      </w:pPr>
      <w:r>
        <w:rPr>
          <w:sz w:val="22"/>
          <w:szCs w:val="22"/>
        </w:rPr>
        <w:t xml:space="preserve">Se il link scade prima di essere usato, o se serve accedere di nuovo in un altro momento, nella pagina di accesso è disponibile un modulo per richiederne uno nuovo inserendo il proprio indirizzo email — senza bisogno di richiederlo al coordinatore.</w:t>
      </w:r>
    </w:p>
    <w:p>
      <w:pPr>
        <w:pStyle w:val="Heading2"/>
        <w:spacing w:after="120" w:before="320"/>
      </w:pPr>
      <w:r>
        <w:rPr>
          <w:b/>
          <w:bCs/>
          <w:color w:val="2F5D50"/>
          <w:sz w:val="24"/>
          <w:szCs w:val="24"/>
        </w:rPr>
        <w:t xml:space="preserve">1.2  Ruoli e assegnazioni</w:t>
      </w:r>
    </w:p>
    <w:p>
      <w:pPr>
        <w:spacing w:after="180" w:line="300"/>
        <w:jc w:val="both"/>
      </w:pPr>
      <w:r>
        <w:rPr>
          <w:sz w:val="22"/>
          <w:szCs w:val="22"/>
        </w:rPr>
        <w:t xml:space="preserve">All'interno della piattaforma ogni persona ha un ruolo. La maggior parte del gruppo lavora come referente, incaricato di specifici campi d'impatto (impact field) all'interno delle combinazioni sistema×pericolo di propria competenza disciplinare — l'assegnazione segue la matrice RACI condivisa con il gruppo: chi è responsabile (R) di un campo è la persona che lo compila; gli altri ruoli (Consultato, Informato) restano coinvolti senza scrivere direttamente su quel campo.</w:t>
      </w:r>
    </w:p>
    <w:p>
      <w:pPr>
        <w:spacing w:after="180" w:line="300"/>
        <w:jc w:val="both"/>
      </w:pPr>
      <w:r>
        <w:rPr>
          <w:sz w:val="22"/>
          <w:szCs w:val="22"/>
        </w:rPr>
        <w:t xml:space="preserve">Il coordinatore (Andrea Vallebona) ha visibilità sull'intero territorio, indipendentemente dalla propria assegnazione RACI, e si occupa di validare il lavoro dei referenti prima che sblocchi la fase successiva (la pesatura degli indicatori).</w:t>
      </w:r>
    </w:p>
    <w:p>
      <w:pPr>
        <w:pStyle w:val="Heading2"/>
        <w:spacing w:after="120" w:before="320"/>
      </w:pPr>
      <w:r>
        <w:rPr>
          <w:b/>
          <w:bCs/>
          <w:color w:val="2F5D50"/>
          <w:sz w:val="24"/>
          <w:szCs w:val="24"/>
        </w:rPr>
        <w:t xml:space="preserve">1.3  Compilare una catena di impatto</w:t>
      </w:r>
    </w:p>
    <w:p>
      <w:pPr>
        <w:spacing w:after="180" w:line="300"/>
        <w:jc w:val="both"/>
      </w:pPr>
      <w:r>
        <w:rPr>
          <w:sz w:val="22"/>
          <w:szCs w:val="22"/>
        </w:rPr>
        <w:t xml:space="preserve">Per ogni combinazione sistema×pericolo×campo di propria competenza, la piattaforma guida in un percorso a più passi:</w:t>
      </w:r>
    </w:p>
    <w:p>
      <w:pPr>
        <w:pStyle w:val="ListParagraph"/>
        <w:numPr>
          <w:ilvl w:val="0"/>
          <w:numId w:val="2"/>
        </w:numPr>
        <w:spacing w:after="120"/>
      </w:pPr>
      <w:r>
        <w:t xml:space="preserve">selezione della combinazione sistema×pericolo×campo su cui si sta lavorando;</w:t>
      </w:r>
    </w:p>
    <w:p>
      <w:pPr>
        <w:pStyle w:val="ListParagraph"/>
        <w:numPr>
          <w:ilvl w:val="0"/>
          <w:numId w:val="2"/>
        </w:numPr>
        <w:spacing w:after="120"/>
      </w:pPr>
      <w:r>
        <w:t xml:space="preserve">scelta o aggiunta dei fattori — quelli già in libreria, oppure a testo libero se manca qualcosa: in questo caso uno strumento automatico propone una classificazione nella componente più adatta (Esposizione, Sensibilità, Capacità adattiva), che resta comunque modificabile;</w:t>
      </w:r>
    </w:p>
    <w:p>
      <w:pPr>
        <w:pStyle w:val="ListParagraph"/>
        <w:numPr>
          <w:ilvl w:val="0"/>
          <w:numId w:val="2"/>
        </w:numPr>
        <w:spacing w:after="120"/>
      </w:pPr>
      <w:r>
        <w:t xml:space="preserve">pesatura di ciascun fattore su tre livelli — Determinante, Rilevante, Marginale — la stessa scala usata poi per gli indicatori, per coerenza;</w:t>
      </w:r>
    </w:p>
    <w:p>
      <w:pPr>
        <w:pStyle w:val="ListParagraph"/>
        <w:numPr>
          <w:ilvl w:val="0"/>
          <w:numId w:val="2"/>
        </w:numPr>
        <w:spacing w:after="120"/>
      </w:pPr>
      <w:r>
        <w:t xml:space="preserve">note conclusive, libere, per motivare le scelte fatte o segnalare dubbi al coordinatore.</w:t>
      </w:r>
    </w:p>
    <w:p>
      <w:pPr>
        <w:spacing w:after="180" w:line="300"/>
        <w:jc w:val="both"/>
      </w:pPr>
      <w:r>
        <w:rPr>
          <w:sz w:val="22"/>
          <w:szCs w:val="22"/>
        </w:rPr>
        <w:t xml:space="preserve">Si può salvare come bozza e tornare in un secondo momento, oppure inviare il contributo per la revisione del coordinatore. </w:t>
      </w:r>
      <w:r>
        <w:rPr>
          <w:b/>
          <w:bCs/>
        </w:rPr>
        <w:t xml:space="preserve">Riaprire un campo già inviato o già validato non comporta alcun rischio</w:t>
      </w:r>
      <w:r>
        <w:rPr>
          <w:sz w:val="22"/>
          <w:szCs w:val="22"/>
        </w:rPr>
        <w:t xml:space="preserve">: la piattaforma ricarica quanto già inserito, e lo stato già raggiunto non retrocede per errore anche se si invia di nuovo — un avviso segnala semplicemente che si sta riprendendo un lavoro già avanzato.</w:t>
      </w:r>
    </w:p>
    <w:p>
      <w:pPr>
        <w:pStyle w:val="Heading2"/>
        <w:spacing w:after="120" w:before="320"/>
      </w:pPr>
      <w:r>
        <w:rPr>
          <w:b/>
          <w:bCs/>
          <w:color w:val="2F5D50"/>
          <w:sz w:val="24"/>
          <w:szCs w:val="24"/>
        </w:rPr>
        <w:t xml:space="preserve">1.4  Resettare una scheda</w:t>
      </w:r>
    </w:p>
    <w:p>
      <w:pPr>
        <w:spacing w:after="180" w:line="300"/>
        <w:jc w:val="both"/>
      </w:pPr>
      <w:r>
        <w:rPr>
          <w:sz w:val="22"/>
          <w:szCs w:val="22"/>
        </w:rPr>
        <w:t xml:space="preserve">Se una scheda — catena di impatto o indicatori — va ricompilata da capo (un errore, un fraintendimento sulla combinazione giusta, o semplicemente la necessità di ripartire), è disponibile un </w:t>
      </w:r>
      <w:r>
        <w:rPr>
          <w:b/>
          <w:bCs/>
        </w:rPr>
        <w:t xml:space="preserve">pulsante di reset</w:t>
      </w:r>
      <w:r>
        <w:rPr>
          <w:sz w:val="22"/>
          <w:szCs w:val="22"/>
        </w:rPr>
        <w:t xml:space="preserve"> che riporta la scheda allo stato vuoto (bozza), cancellando fattori, pesature e note già inseriti. Per sicurezza la conferma richiede due passaggi: un primo clic mostra l'avviso, un secondo lo conferma.</w:t>
      </w:r>
    </w:p>
    <w:p>
      <w:pPr>
        <w:spacing w:after="180" w:line="300"/>
        <w:jc w:val="both"/>
      </w:pPr>
      <w:r>
        <w:rPr>
          <w:sz w:val="22"/>
          <w:szCs w:val="22"/>
        </w:rPr>
        <w:t xml:space="preserve">Il </w:t>
      </w:r>
      <w:r>
        <w:rPr>
          <w:b/>
          <w:bCs/>
        </w:rPr>
        <w:t xml:space="preserve">referente</w:t>
      </w:r>
      <w:r>
        <w:rPr>
          <w:sz w:val="22"/>
          <w:szCs w:val="22"/>
        </w:rPr>
        <w:t xml:space="preserve"> può resettare le proprie schede finché non sono ancora state validate dal coordinatore; il </w:t>
      </w:r>
      <w:r>
        <w:rPr>
          <w:b/>
          <w:bCs/>
        </w:rPr>
        <w:t xml:space="preserve">coordinatore</w:t>
      </w:r>
      <w:r>
        <w:rPr>
          <w:sz w:val="22"/>
          <w:szCs w:val="22"/>
        </w:rPr>
        <w:t xml:space="preserve"> può resettare qualunque scheda del territorio, anche già validata. È un'operazione che si vede subito e non richiede di scrivere ad Andrea per farsi sbloccare un campo.</w:t>
      </w:r>
    </w:p>
    <w:p>
      <w:pPr>
        <w:pStyle w:val="Heading2"/>
        <w:spacing w:after="120" w:before="320"/>
      </w:pPr>
      <w:r>
        <w:rPr>
          <w:b/>
          <w:bCs/>
          <w:color w:val="2F5D50"/>
          <w:sz w:val="24"/>
          <w:szCs w:val="24"/>
        </w:rPr>
        <w:t xml:space="preserve">1.5  Selezione e pesatura degli indicatori</w:t>
      </w:r>
    </w:p>
    <w:p>
      <w:pPr>
        <w:spacing w:after="180" w:line="300"/>
        <w:jc w:val="both"/>
      </w:pPr>
      <w:r>
        <w:rPr>
          <w:sz w:val="22"/>
          <w:szCs w:val="22"/>
        </w:rPr>
        <w:t xml:space="preserve">Una volta che il coordinatore valida la catena di impatto di un campo, si apre per quel campo una fase successiva: la scelta e la pesatura degli indicatori collegati, da una libreria precompilata.</w:t>
      </w:r>
    </w:p>
    <w:p>
      <w:pPr>
        <w:spacing w:after="180" w:line="300"/>
        <w:jc w:val="both"/>
      </w:pPr>
      <w:r>
        <w:rPr>
          <w:sz w:val="22"/>
          <w:szCs w:val="22"/>
        </w:rPr>
        <w:t xml:space="preserve">Lavora sempre lo stesso referente, con lo stesso meccanismo di selezione e pesatura descritto al punto precedente, raggruppabile per campo oppure per combinazione sistema×pericolo secondo la vista che si preferisce.</w:t>
      </w:r>
    </w:p>
    <w:p>
      <w:pPr>
        <w:pStyle w:val="Heading2"/>
        <w:spacing w:after="120" w:before="320"/>
      </w:pPr>
      <w:r>
        <w:rPr>
          <w:b/>
          <w:bCs/>
          <w:color w:val="2F5D50"/>
          <w:sz w:val="24"/>
          <w:szCs w:val="24"/>
        </w:rPr>
        <w:t xml:space="preserve">1.6  Spazio commenti</w:t>
      </w:r>
    </w:p>
    <w:p>
      <w:pPr>
        <w:spacing w:after="180" w:line="300"/>
        <w:jc w:val="both"/>
      </w:pPr>
      <w:r>
        <w:rPr>
          <w:sz w:val="22"/>
          <w:szCs w:val="22"/>
        </w:rPr>
        <w:t xml:space="preserve">Su ogni fattore e su ogni indicatore di libreria sarà disponibile </w:t>
      </w:r>
      <w:r>
        <w:rPr>
          <w:i/>
          <w:iCs/>
        </w:rPr>
        <w:t xml:space="preserve">a breve</w:t>
      </w:r>
      <w:r>
        <w:rPr>
          <w:sz w:val="22"/>
          <w:szCs w:val="22"/>
        </w:rPr>
        <w:t xml:space="preserve"> uno spazio commenti, aperto a tutto il gruppo di lavoro loggato: se un fattore sembra fuori posto, se un indicatore non convince, o se si vuole segnalare qualcosa al resto del gruppo, si userà il commento invece di modificare direttamente il dato condiviso.</w:t>
      </w:r>
    </w:p>
    <w:p>
      <w:pPr>
        <w:spacing w:after="180" w:line="300"/>
        <w:jc w:val="both"/>
      </w:pPr>
      <w:r>
        <w:rPr>
          <w:sz w:val="22"/>
          <w:szCs w:val="22"/>
        </w:rPr>
        <w:t xml:space="preserve">Questo mantiene traccia della discussione e la rende visibile a tutti, senza il rischio che una correzione individuale sfugga al resto del gruppo o comprometta combinazioni non sotto osservazione in quel momento.</w:t>
      </w:r>
    </w:p>
    <w:p>
      <w:pPr>
        <w:pStyle w:val="Heading2"/>
        <w:spacing w:after="120" w:before="320"/>
      </w:pPr>
      <w:r>
        <w:rPr>
          <w:b/>
          <w:bCs/>
          <w:color w:val="2F5D50"/>
          <w:sz w:val="24"/>
          <w:szCs w:val="24"/>
        </w:rPr>
        <w:t xml:space="preserve">1.7  Visualizzazioni ed esportazione</w:t>
      </w:r>
    </w:p>
    <w:p>
      <w:pPr>
        <w:spacing w:after="180" w:line="300"/>
        <w:jc w:val="both"/>
      </w:pPr>
      <w:r>
        <w:rPr>
          <w:sz w:val="22"/>
          <w:szCs w:val="22"/>
        </w:rPr>
        <w:t xml:space="preserve">Nella sezione Visualizzazioni si trovano rappresentazioni aggregate del lavoro del gruppo, pensate per leggere il rischio a colpo d'occhio invece che campo per campo:</w:t>
      </w:r>
    </w:p>
    <w:p>
      <w:pPr>
        <w:pStyle w:val="ListParagraph"/>
        <w:numPr>
          <w:ilvl w:val="0"/>
          <w:numId w:val="2"/>
        </w:numPr>
        <w:spacing w:after="120"/>
      </w:pPr>
      <w:r>
        <w:t xml:space="preserve">un diagramma a farfalla (bow-tie) per ogni combinazione, che mette in fila cause, evento e conseguenze;</w:t>
      </w:r>
    </w:p>
    <w:p>
      <w:pPr>
        <w:pStyle w:val="ListParagraph"/>
        <w:numPr>
          <w:ilvl w:val="0"/>
          <w:numId w:val="2"/>
        </w:numPr>
        <w:spacing w:after="120"/>
      </w:pPr>
      <w:r>
        <w:t xml:space="preserve">una mappa di calore del rischio su tutte le combinazioni sistema×pericolo del territorio, con il criterio più cautelativo (il valore massimo, non una media) per non nascondere punti critici;</w:t>
      </w:r>
    </w:p>
    <w:p>
      <w:pPr>
        <w:pStyle w:val="ListParagraph"/>
        <w:numPr>
          <w:ilvl w:val="0"/>
          <w:numId w:val="2"/>
        </w:numPr>
        <w:spacing w:after="120"/>
      </w:pPr>
      <w:r>
        <w:t xml:space="preserve">il grafo di pervasività dei fattori, non più un unico grafo ma tre modi complementari di leggere le stesse relazioni: il grafo fattori↔campi (ogni fattore mostrato con una forma diversa per componente — triangolo, quadrato, cerchio — e un colore coerente con il resto della piattaforma), un interruttore per scegliere se considerare pervasivo un fattore che attraversa più campi oppure, criterio più severo, più sistemi distinti; la vista “Field correlati”, che collega direttamente i campi che condividono fattori; e la “Classifica fattori”, una tabella ordinabile con lo stesso conteggio alla base del grafo.</w:t>
      </w:r>
    </w:p>
    <w:p>
      <w:pPr>
        <w:spacing w:after="180" w:line="300"/>
        <w:jc w:val="both"/>
      </w:pPr>
      <w:r>
        <w:rPr>
          <w:sz w:val="22"/>
          <w:szCs w:val="22"/>
        </w:rPr>
        <w:t xml:space="preserve">Dalla stessa sezione si può esportare in </w:t>
      </w:r>
      <w:r>
        <w:rPr>
          <w:b/>
          <w:bCs/>
        </w:rPr>
        <w:t xml:space="preserve">Word</w:t>
      </w:r>
      <w:r>
        <w:rPr>
          <w:sz w:val="22"/>
          <w:szCs w:val="22"/>
        </w:rPr>
        <w:t xml:space="preserve"> o </w:t>
      </w:r>
      <w:r>
        <w:rPr>
          <w:b/>
          <w:bCs/>
        </w:rPr>
        <w:t xml:space="preserve">Excel</w:t>
      </w:r>
      <w:r>
        <w:rPr>
          <w:sz w:val="22"/>
          <w:szCs w:val="22"/>
        </w:rPr>
        <w:t xml:space="preserve"> l'intera raccolta delle catene di impatto, organizzata per sistema×pericolo o per campo — pronta da inserire nella reportistica del PAC senza ricopiare nulla a mano.</w:t>
      </w:r>
    </w:p>
    <w:p>
      <w:pPr>
        <w:pStyle w:val="Heading2"/>
        <w:spacing w:after="120" w:before="320"/>
      </w:pPr>
      <w:r>
        <w:rPr>
          <w:b/>
          <w:bCs/>
          <w:color w:val="2F5D50"/>
          <w:sz w:val="24"/>
          <w:szCs w:val="24"/>
        </w:rPr>
        <w:t xml:space="preserve">1.8  Lavorare su più territori</w:t>
      </w:r>
    </w:p>
    <w:p>
      <w:pPr>
        <w:spacing w:after="180" w:line="300"/>
        <w:jc w:val="both"/>
      </w:pPr>
      <w:r>
        <w:rPr>
          <w:sz w:val="22"/>
          <w:szCs w:val="22"/>
        </w:rPr>
        <w:t xml:space="preserve">Se sei autorizzato su più di un territorio di analisi (per esempio perché il gruppo di lavoro segue anche un altro Comune oltre al Barigadu Guilcer), dopo aver cliccato il link di accesso ti verrà chiesto su quale territorio vuoi operare in questa sessione, prima di entrare nella piattaforma.</w:t>
      </w:r>
    </w:p>
    <w:p>
      <w:pPr>
        <w:spacing w:after="180" w:line="300"/>
        <w:jc w:val="both"/>
      </w:pPr>
      <w:r>
        <w:rPr>
          <w:sz w:val="22"/>
          <w:szCs w:val="22"/>
        </w:rPr>
        <w:t xml:space="preserve">La scelta resta valida anche chiudendo e riaprendo il browser; se in un momento successivo vuoi lavorare su un territorio diverso, trovi il link “Cambia territorio” nel menu di navigazione. Se sei autorizzato su un solo territorio, questo passaggio non compare: si entra direttamente come descritto al punto 1.1.</w:t>
      </w:r>
    </w:p>
    <w:p>
      <w:pPr>
        <w:pStyle w:val="Heading2"/>
        <w:spacing w:after="120" w:before="320"/>
      </w:pPr>
      <w:r>
        <w:rPr>
          <w:b/>
          <w:bCs/>
          <w:color w:val="2F5D50"/>
          <w:sz w:val="24"/>
          <w:szCs w:val="24"/>
        </w:rPr>
        <w:t xml:space="preserve">1.9  Riservatezza dei dati</w:t>
      </w:r>
    </w:p>
    <w:p>
      <w:pPr>
        <w:spacing w:after="180" w:line="300"/>
        <w:jc w:val="both"/>
      </w:pPr>
      <w:r>
        <w:rPr>
          <w:sz w:val="22"/>
          <w:szCs w:val="22"/>
        </w:rPr>
        <w:t xml:space="preserve">Ogni referente vede e può modificare solo i propri contributi; il coordinatore è l'unico ruolo con visibilità sull'intero territorio, necessaria per validare e aggregare il lavoro del gruppo. Questa separazione è applicata direttamente a livello di accesso ai dati, non solo nell'interfaccia — resta valida anche esportando o consultando le visualizzazioni aggregate.</w:t>
      </w:r>
    </w:p>
    <w:p>
      <w:pPr>
        <w:pStyle w:val="Heading1"/>
        <w:pBdr>
          <w:bottom w:val="single" w:color="2F5D50" w:sz="8" w:space="4"/>
        </w:pBdr>
        <w:spacing w:after="200" w:before="480"/>
      </w:pPr>
      <w:r>
        <w:rPr>
          <w:b/>
          <w:bCs/>
          <w:color w:val="2F5D50"/>
          <w:sz w:val="30"/>
          <w:szCs w:val="30"/>
        </w:rPr>
        <w:t xml:space="preserve">Parte 2 — Questa fase: completare la pesatura per il Barigadu Guilcer</w:t>
      </w:r>
    </w:p>
    <w:p>
      <w:pPr>
        <w:pStyle w:val="Heading2"/>
        <w:spacing w:after="120" w:before="320"/>
      </w:pPr>
      <w:r>
        <w:rPr>
          <w:b/>
          <w:bCs/>
          <w:color w:val="2F5D50"/>
          <w:sz w:val="24"/>
          <w:szCs w:val="24"/>
        </w:rPr>
        <w:t xml:space="preserve">2.1  Cosa è già stato fatto</w:t>
      </w:r>
    </w:p>
    <w:p>
      <w:pPr>
        <w:spacing w:after="180" w:line="300"/>
        <w:jc w:val="both"/>
      </w:pPr>
      <w:r>
        <w:rPr>
          <w:sz w:val="22"/>
          <w:szCs w:val="22"/>
        </w:rPr>
        <w:t xml:space="preserve">Il lavoro di individuazione dei fattori delle catene di impatto per il Barigadu Guilcer, condotto a monte di questa piattaforma, è già interamente integrato: le combinazioni sistema×pericolo×campo definite nel lavoro sulle catene di impatto sono già caricate, con i rispettivi fattori.</w:t>
      </w:r>
    </w:p>
    <w:p>
      <w:pPr>
        <w:spacing w:after="180" w:line="300"/>
        <w:jc w:val="both"/>
      </w:pPr>
      <w:r>
        <w:rPr>
          <w:sz w:val="22"/>
          <w:szCs w:val="22"/>
        </w:rPr>
        <w:t xml:space="preserve">Aprendo il form sul proprio campo di competenza non si parte da una pagina vuota: i fattori individuati nel lavoro già svolto sono già elencati, pronti per il passo successivo.</w:t>
      </w:r>
    </w:p>
    <w:p>
      <w:pPr>
        <w:pStyle w:val="Heading2"/>
        <w:spacing w:after="120" w:before="320"/>
      </w:pPr>
      <w:r>
        <w:rPr>
          <w:b/>
          <w:bCs/>
          <w:color w:val="2F5D50"/>
          <w:sz w:val="24"/>
          <w:szCs w:val="24"/>
        </w:rPr>
        <w:t xml:space="preserve">2.2  Cosa manca: la pesatura dei fattori</w:t>
      </w:r>
    </w:p>
    <w:p>
      <w:pPr>
        <w:spacing w:after="180" w:line="300"/>
        <w:jc w:val="both"/>
      </w:pPr>
      <w:r>
        <w:rPr>
          <w:sz w:val="22"/>
          <w:szCs w:val="22"/>
        </w:rPr>
        <w:t xml:space="preserve">Ciò che resta da fare è assegnare un peso (</w:t>
      </w:r>
      <w:r>
        <w:rPr>
          <w:b/>
          <w:bCs/>
        </w:rPr>
        <w:t xml:space="preserve">Determinante, Rilevante, Marginale</w:t>
      </w:r>
      <w:r>
        <w:rPr>
          <w:sz w:val="22"/>
          <w:szCs w:val="22"/>
        </w:rPr>
        <w:t xml:space="preserve">) a ciascun fattore già presente, secondo la propria valutazione disciplinare.</w:t>
      </w:r>
    </w:p>
    <w:p>
      <w:pPr>
        <w:spacing w:after="180" w:line="300"/>
        <w:jc w:val="both"/>
      </w:pPr>
      <w:r>
        <w:rPr>
          <w:sz w:val="22"/>
          <w:szCs w:val="22"/>
        </w:rPr>
        <w:t xml:space="preserve">È un lavoro di giudizio esperto, non di raccolta dati: nessuno strumento automatico può farlo al posto di chi ha la competenza. Riguarda i campi assegnati a ciascuno nella matrice RACI condivisa.</w:t>
      </w:r>
    </w:p>
    <w:p>
      <w:pPr>
        <w:pStyle w:val="Heading2"/>
        <w:spacing w:after="120" w:before="320"/>
      </w:pPr>
      <w:r>
        <w:rPr>
          <w:b/>
          <w:bCs/>
          <w:color w:val="2F5D50"/>
          <w:sz w:val="24"/>
          <w:szCs w:val="24"/>
        </w:rPr>
        <w:t xml:space="preserve">2.3  Poi: la pesatura degli indicatori</w:t>
      </w:r>
    </w:p>
    <w:p>
      <w:pPr>
        <w:spacing w:after="180" w:line="300"/>
        <w:jc w:val="both"/>
      </w:pPr>
      <w:r>
        <w:rPr>
          <w:sz w:val="22"/>
          <w:szCs w:val="22"/>
        </w:rPr>
        <w:t xml:space="preserve">Una volta pesati i fattori di un campo e validato il contributo dal coordinatore, per quello stesso campo si apre la fase di scelta e pesatura degli indicatori, con lo stesso meccanismo descritto al punto 1.5.</w:t>
      </w:r>
    </w:p>
    <w:p>
      <w:pPr>
        <w:pStyle w:val="Heading2"/>
        <w:spacing w:after="120" w:before="320"/>
      </w:pPr>
      <w:r>
        <w:rPr>
          <w:b/>
          <w:bCs/>
          <w:color w:val="2F5D50"/>
          <w:sz w:val="24"/>
          <w:szCs w:val="24"/>
        </w:rPr>
        <w:t xml:space="preserve">2.4  Uso dei commenti in questa fase</w:t>
      </w:r>
    </w:p>
    <w:p>
      <w:pPr>
        <w:spacing w:after="180" w:line="300"/>
        <w:jc w:val="both"/>
      </w:pPr>
      <w:r>
        <w:rPr>
          <w:sz w:val="22"/>
          <w:szCs w:val="22"/>
        </w:rPr>
        <w:t xml:space="preserve">Se durante la pesatura si trova un fattore ritenuto mal classificato, ridondante, o se manca qualcosa, si userà lo spazio commenti invece di correggerlo direttamente: la libreria dei fattori è condivisa con l'intero territorio, e una modifica diretta rischia di avere effetti su combinazioni non sotto osservazione in quel momento. Lo stesso vale per gli indicatori.</w:t>
      </w:r>
    </w:p>
    <w:p>
      <w:pPr>
        <w:pStyle w:val="Heading2"/>
        <w:spacing w:after="120" w:before="320"/>
      </w:pPr>
      <w:r>
        <w:rPr>
          <w:b/>
          <w:bCs/>
          <w:color w:val="2F5D50"/>
          <w:sz w:val="24"/>
          <w:szCs w:val="24"/>
        </w:rPr>
        <w:t xml:space="preserve">2.5  Prossimi passi</w:t>
      </w:r>
    </w:p>
    <w:p>
      <w:pPr>
        <w:spacing w:after="180" w:line="300"/>
        <w:jc w:val="both"/>
      </w:pPr>
      <w:r>
        <w:rPr>
          <w:sz w:val="22"/>
          <w:szCs w:val="22"/>
        </w:rPr>
        <w:t xml:space="preserve">Il link di accesso personale arriverà via email a breve. Per qualunque dubbio sul funzionamento della piattaforma, o per segnalare un problema tecnico, il riferimento è Andrea Vallebona.</w:t>
      </w:r>
    </w:p>
    <w:p>
      <w:pPr>
        <w:spacing w:after="0" w:line="300"/>
        <w:jc w:val="both"/>
      </w:pPr>
      <w:r>
        <w:rPr>
          <w:i/>
          <w:iCs/>
          <w:sz w:val="22"/>
          <w:szCs w:val="22"/>
        </w:rPr>
        <w:t xml:space="preserve">Il lavoro già fatto a monte è la parte più impegnativa: quello che resta ora è portare la propria competenza disciplinare su un lavoro già strutturato — non si riparte da zero, e ogni contributo si vede subito nell'insieme del territorio.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Rete Gaia Srl · Guida all'uso della piattaforma SRACC · </w:t>
    </w:r>
    <w:r>
      <w:rPr>
        <w:color w:val="595959"/>
        <w:sz w:val="16"/>
        <w:szCs w:val="16"/>
      </w:rPr>
      <w:t xml:space="preserve">pag. </w:t>
    </w:r>
    <w:r>
      <w:rPr>
        <w:color w:val="595959"/>
        <w:sz w:val="16"/>
        <w:szCs w:val="16"/>
      </w:rPr>
      <w:fldChar w:fldCharType="begin"/>
      <w:instrText xml:space="preserve">PAGE</w:instrText>
      <w:fldChar w:fldCharType="separate"/>
      <w:fldChar w:fldCharType="end"/>
    </w:r>
    <w:r>
      <w:rPr>
        <w:color w:val="595959"/>
        <w:sz w:val="16"/>
        <w:szCs w:val="16"/>
      </w:rPr>
      <w:t xml:space="preserve"> di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2026-07-13T14:00:06.728Z</dcterms:created>
  <dcterms:modified xsi:type="dcterms:W3CDTF">2026-07-13T14:00:06.728Z</dcterms:modified>
</cp:coreProperties>
</file>

<file path=docProps/custom.xml><?xml version="1.0" encoding="utf-8"?>
<Properties xmlns="http://schemas.openxmlformats.org/officeDocument/2006/custom-properties" xmlns:vt="http://schemas.openxmlformats.org/officeDocument/2006/docPropsVTypes"/>
</file>