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E27D" w14:textId="64B852B4" w:rsidR="009317EE" w:rsidRDefault="00140420">
      <w:r>
        <w:t>내용 일반법인 중소기업 연구 및 인력개발비 세액공제 (</w:t>
      </w:r>
      <w:proofErr w:type="spellStart"/>
      <w:r>
        <w:t>조특법</w:t>
      </w:r>
      <w:proofErr w:type="spellEnd"/>
      <w:r>
        <w:t xml:space="preserve">§10) </w:t>
      </w:r>
      <w:proofErr w:type="spellStart"/>
      <w:r>
        <w:t>신성장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원천기술연구개발비</w:t>
      </w:r>
      <w:proofErr w:type="spellEnd"/>
      <w:r>
        <w:t xml:space="preserve"> × 최대 30* %〔20%＋(수입 금액 대비 신성장 R&amp;D 비중 × 3배)〕 * 코스닥상장 중견기업은 최대 40% (25%+α) </w:t>
      </w:r>
      <w:proofErr w:type="spellStart"/>
      <w:r>
        <w:t>신성장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원천기술연구개발비</w:t>
      </w:r>
      <w:proofErr w:type="spellEnd"/>
      <w:r>
        <w:t xml:space="preserve">×최대 40%〔30%＋(수입금액 대비 신성장 R&amp;D 비중 × 3배)〕 국가전략기술 연구개발비 ×최대 40% [30%+ (수입 금액 대비 국가전략기술 R&amp;D 비중 × 3배)] 국가전략기술 연구개발비 ×최대 50% [40%+(수입 금액 대비 국가전략기술 R&amp;D 비중 × 3배)] 위 </w:t>
      </w:r>
      <w:proofErr w:type="spellStart"/>
      <w:r>
        <w:t>해당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선택</w:t>
      </w:r>
      <w:proofErr w:type="spellEnd"/>
      <w:r>
        <w:t xml:space="preserve"> 않은 경우 ①</w:t>
      </w:r>
      <w:r>
        <w:rPr>
          <w:rFonts w:ascii="MS Mincho" w:eastAsia="MS Mincho" w:hAnsi="MS Mincho" w:cs="MS Mincho" w:hint="eastAsia"/>
        </w:rPr>
        <w:t>･</w:t>
      </w:r>
      <w:r>
        <w:t xml:space="preserve">②중 많은 것 선택 ① </w:t>
      </w:r>
      <w:proofErr w:type="spellStart"/>
      <w:r>
        <w:t>직전년도</w:t>
      </w:r>
      <w:proofErr w:type="spellEnd"/>
      <w:r>
        <w:t xml:space="preserve"> </w:t>
      </w:r>
      <w:proofErr w:type="spellStart"/>
      <w:r>
        <w:t>발생액</w:t>
      </w:r>
      <w:proofErr w:type="spellEnd"/>
      <w:r>
        <w:t xml:space="preserve"> 초과금액× 25% ② 당해연도 R&amp;D비용×〔기본 0% ＋(매출액 대비 R&amp;D 비중 ×1/2배* 〕 * 최대 2% 위 </w:t>
      </w:r>
      <w:proofErr w:type="spellStart"/>
      <w:r>
        <w:t>해당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선택</w:t>
      </w:r>
      <w:proofErr w:type="spellEnd"/>
      <w:r>
        <w:t xml:space="preserve"> 않은 경우 ①</w:t>
      </w:r>
      <w:r>
        <w:rPr>
          <w:rFonts w:ascii="MS Mincho" w:eastAsia="MS Mincho" w:hAnsi="MS Mincho" w:cs="MS Mincho" w:hint="eastAsia"/>
        </w:rPr>
        <w:t>･</w:t>
      </w:r>
      <w:r>
        <w:t xml:space="preserve">②중 많은 것 선택 ① </w:t>
      </w:r>
      <w:proofErr w:type="spellStart"/>
      <w:r>
        <w:t>직전년도발생액</w:t>
      </w:r>
      <w:proofErr w:type="spellEnd"/>
      <w:r>
        <w:t xml:space="preserve"> 초과금액 × 50% ② 당해연도R&amp;D비용×25% * 중소기업 졸업에 따른 </w:t>
      </w:r>
      <w:proofErr w:type="spellStart"/>
      <w:r>
        <w:t>공제율</w:t>
      </w:r>
      <w:proofErr w:type="spellEnd"/>
      <w:r>
        <w:t xml:space="preserve"> 단계적 인하 - 중소기업 졸업이후(유예기간 포함) 3년간 15%, 그 이후 2년간 10% ※ 중견기업 </w:t>
      </w:r>
      <w:proofErr w:type="spellStart"/>
      <w:r>
        <w:t>공제율</w:t>
      </w:r>
      <w:proofErr w:type="spellEnd"/>
      <w:r>
        <w:t xml:space="preserve"> 신설 (’13.1.1.이후 개시 과세연도) ①</w:t>
      </w:r>
      <w:r>
        <w:rPr>
          <w:rFonts w:ascii="MS Mincho" w:eastAsia="MS Mincho" w:hAnsi="MS Mincho" w:cs="MS Mincho" w:hint="eastAsia"/>
        </w:rPr>
        <w:t>･</w:t>
      </w:r>
      <w:r>
        <w:t xml:space="preserve">②중 많은 것 선택 ① </w:t>
      </w:r>
      <w:proofErr w:type="spellStart"/>
      <w:r>
        <w:t>직전년도</w:t>
      </w:r>
      <w:proofErr w:type="spellEnd"/>
      <w:r>
        <w:t xml:space="preserve"> </w:t>
      </w:r>
      <w:proofErr w:type="spellStart"/>
      <w:r>
        <w:t>발생액</w:t>
      </w:r>
      <w:proofErr w:type="spellEnd"/>
      <w:r>
        <w:t xml:space="preserve"> 초과금액×40% ② 당해연도 R&amp;D비용×8% ☞ 중견기업(</w:t>
      </w:r>
      <w:proofErr w:type="spellStart"/>
      <w:r>
        <w:t>조특령</w:t>
      </w:r>
      <w:proofErr w:type="spellEnd"/>
      <w:r>
        <w:t>§9③) 1. 중소기업이 아닐 것 2. 주된 사업이 중소기업 업종 3. 소유와 경영의 실질적 독립성 충족 4. 직전 3년 평균 매출액 5천억 미만 기술이전 및 기술취득 등에 대한 과세특례 (</w:t>
      </w:r>
      <w:proofErr w:type="spellStart"/>
      <w:r>
        <w:t>조특법</w:t>
      </w:r>
      <w:proofErr w:type="spellEnd"/>
      <w:r>
        <w:t xml:space="preserve">§12) - 중견기업은 중소기업과 동일 - 특허권 등 이전소득에 대한 법인세 50% 감면 - 중견기업* 은 중소기업과 동일 * ’22.1.1.이후 개시하는 과세연도 분부터 적용 - 특허권 등 대여소득에 대한 법인세 25% 감면 벤처기업 등에 </w:t>
      </w:r>
      <w:proofErr w:type="spellStart"/>
      <w:r>
        <w:t>출자시</w:t>
      </w:r>
      <w:proofErr w:type="spellEnd"/>
      <w:r>
        <w:t xml:space="preserve"> 세액공제 (</w:t>
      </w:r>
      <w:proofErr w:type="spellStart"/>
      <w:r>
        <w:t>조특법</w:t>
      </w:r>
      <w:proofErr w:type="spellEnd"/>
      <w:r>
        <w:t xml:space="preserve">§13의2) 중소기업과 동일 - 벤처기업 등에 </w:t>
      </w:r>
      <w:proofErr w:type="spellStart"/>
      <w:r>
        <w:t>출자시</w:t>
      </w:r>
      <w:proofErr w:type="spellEnd"/>
      <w:r>
        <w:t xml:space="preserve"> 출자금액의 5% 세액공제 성과공유제 중소기업의 경영성과급 세액공제 (</w:t>
      </w:r>
      <w:proofErr w:type="spellStart"/>
      <w:r>
        <w:t>조특법</w:t>
      </w:r>
      <w:proofErr w:type="spellEnd"/>
      <w:r>
        <w:t xml:space="preserve">§19) </w:t>
      </w:r>
      <w:proofErr w:type="spellStart"/>
      <w:r>
        <w:t>해당없음</w:t>
      </w:r>
      <w:proofErr w:type="spellEnd"/>
      <w:r>
        <w:t xml:space="preserve"> - 성과공유 중소기업* 이 근로자에게 지급하는 경영성과급의 15% * 영업이익이 발생한 기업 요건 삭제 * 최대주주 등, </w:t>
      </w:r>
      <w:proofErr w:type="spellStart"/>
      <w:r>
        <w:t>총급여</w:t>
      </w:r>
      <w:proofErr w:type="spellEnd"/>
      <w:r>
        <w:t xml:space="preserve"> 7천만원 </w:t>
      </w:r>
      <w:proofErr w:type="spellStart"/>
      <w:r>
        <w:t>초과자</w:t>
      </w:r>
      <w:proofErr w:type="spellEnd"/>
      <w:r>
        <w:t xml:space="preserve"> 제외 통합투자세액공제 (</w:t>
      </w:r>
      <w:proofErr w:type="spellStart"/>
      <w:r>
        <w:t>조특법</w:t>
      </w:r>
      <w:proofErr w:type="spellEnd"/>
      <w:r>
        <w:t xml:space="preserve">§24) 시설투자(%) </w:t>
      </w:r>
      <w:proofErr w:type="spellStart"/>
      <w:r>
        <w:t>당기분</w:t>
      </w:r>
      <w:proofErr w:type="spellEnd"/>
      <w:r>
        <w:t xml:space="preserve"> 증가분 대 중견 중소 일 반1) 1 3 10 3 </w:t>
      </w:r>
      <w:proofErr w:type="spellStart"/>
      <w:r>
        <w:t>신성장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원천기술</w:t>
      </w:r>
      <w:proofErr w:type="spellEnd"/>
      <w:r>
        <w:t xml:space="preserve"> 3 5 12 국가전략기술2) 6 8 16 4 1) 공제대상자산 : ① 사업용 유형자산 (단, </w:t>
      </w:r>
      <w:proofErr w:type="spellStart"/>
      <w:r>
        <w:t>토지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건물</w:t>
      </w:r>
      <w:proofErr w:type="spellEnd"/>
      <w:r>
        <w:t>, 차량, 비품 등 제외) ② 일부 유형자산(①제외)과 무형자산 2) ’21.7.1. 시설을 투자하는 분부터 적용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20"/>
    <w:rsid w:val="00140420"/>
    <w:rsid w:val="00744DE4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14DE"/>
  <w15:chartTrackingRefBased/>
  <w15:docId w15:val="{C53238BD-7CC5-4FEE-962A-35605853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2023-09-19T02:32:00Z</dcterms:created>
  <dcterms:modified xsi:type="dcterms:W3CDTF">2023-10-05T06:33:00Z</dcterms:modified>
</cp:coreProperties>
</file>