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10E" w:rsidRDefault="0004510E" w:rsidP="0004510E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etailgeneral corporation</w:t>
      </w:r>
      <w:r>
        <w:rPr>
          <w:lang w:eastAsia="ko-KR"/>
        </w:rPr>
        <w:t>small businessresearchand tax credit for human resource development expenses (Article 10 of the Special Tax Service Act)</w:t>
      </w:r>
      <w:r>
        <w:rPr>
          <w:lang w:eastAsia="ko-KR"/>
        </w:rPr>
        <w:tab/>
        <w:t>New growth and original technology research and development expenses × up to 30*%〔20%+(importNew growth relative to amountR&amp;DSpecific gravity × 3 times)〕* KOSDAQ listing Medium-sized companies maximum40%</w:t>
      </w:r>
      <w:r>
        <w:rPr>
          <w:lang w:eastAsia="ko-KR"/>
        </w:rPr>
        <w:t>(25%+α)</w:t>
      </w:r>
      <w:r>
        <w:rPr>
          <w:lang w:eastAsia="ko-KR"/>
        </w:rPr>
        <w:t>New growth and original technology research and development expenses × up to 40%〔30%＋(import amountContrast new growthR&amp;D proportion × 3 times)national strategic technologyResearch and development costs × up to 40%[30%+ (national strategic technology compared to import amount)R&amp;D proportion × 3 times)]</w:t>
      </w:r>
      <w:r>
        <w:rPr>
          <w:lang w:eastAsia="ko-KR"/>
        </w:rPr>
        <w:tab/>
        <w:t>national strategic technologyResearch and development expenses × up to 50% [40%+ (national strategic technology compared to the amount ofR&amp;D proportion × 3 times)]</w:t>
      </w:r>
    </w:p>
    <w:p w:rsidR="0004510E" w:rsidRDefault="0004510E" w:rsidP="0004510E">
      <w:pPr>
        <w:rPr>
          <w:lang w:eastAsia="ko-KR"/>
        </w:rPr>
      </w:pPr>
      <w:r>
        <w:rPr>
          <w:lang w:eastAsia="ko-KR"/>
        </w:rPr>
        <w:t>If applicable to above/not selected</w:t>
      </w:r>
      <w:r>
        <w:rPr>
          <w:rFonts w:hint="eastAsia"/>
          <w:lang w:eastAsia="ko-KR"/>
        </w:rPr>
        <w:t>①･②</w:t>
      </w:r>
      <w:r>
        <w:rPr>
          <w:lang w:eastAsia="ko-KR"/>
        </w:rPr>
        <w:t xml:space="preserve"> many thingselect</w:t>
      </w:r>
      <w:r>
        <w:rPr>
          <w:rFonts w:hint="eastAsia"/>
          <w:lang w:eastAsia="ko-KR"/>
        </w:rPr>
        <w:t>①</w:t>
      </w:r>
      <w:r>
        <w:rPr>
          <w:lang w:eastAsia="ko-KR"/>
        </w:rPr>
        <w:t xml:space="preserve"> Previous year accrual Excess amount × 25%</w:t>
      </w:r>
      <w:r>
        <w:rPr>
          <w:rFonts w:hint="eastAsia"/>
          <w:lang w:eastAsia="ko-KR"/>
        </w:rPr>
        <w:t>②</w:t>
      </w:r>
      <w:r>
        <w:rPr>
          <w:lang w:eastAsia="ko-KR"/>
        </w:rPr>
        <w:t xml:space="preserve"> R&amp;D cost of the current year × [Basic0%</w:t>
      </w:r>
      <w:r>
        <w:rPr>
          <w:rFonts w:hint="eastAsia"/>
          <w:lang w:eastAsia="ko-KR"/>
        </w:rPr>
        <w:t>＋</w:t>
      </w:r>
      <w:r>
        <w:rPr>
          <w:lang w:eastAsia="ko-KR"/>
        </w:rPr>
        <w:t>(SalesCompared to R&amp;D ratio ×1/2 times*]* Up to 2%</w:t>
      </w:r>
      <w:r>
        <w:rPr>
          <w:lang w:eastAsia="ko-KR"/>
        </w:rPr>
        <w:tab/>
        <w:t>If applicable to above/not selected</w:t>
      </w:r>
      <w:r>
        <w:rPr>
          <w:rFonts w:hint="eastAsia"/>
          <w:lang w:eastAsia="ko-KR"/>
        </w:rPr>
        <w:t>①･②</w:t>
      </w:r>
      <w:r>
        <w:rPr>
          <w:lang w:eastAsia="ko-KR"/>
        </w:rPr>
        <w:t xml:space="preserve"> many thingselect</w:t>
      </w:r>
      <w:r>
        <w:rPr>
          <w:rFonts w:hint="eastAsia"/>
          <w:lang w:eastAsia="ko-KR"/>
        </w:rPr>
        <w:t>①</w:t>
      </w:r>
      <w:r>
        <w:rPr>
          <w:lang w:eastAsia="ko-KR"/>
        </w:rPr>
        <w:t xml:space="preserve"> Excess amount incurred in the previous year × 50%</w:t>
      </w:r>
      <w:r>
        <w:rPr>
          <w:rFonts w:hint="eastAsia"/>
          <w:lang w:eastAsia="ko-KR"/>
        </w:rPr>
        <w:t>②</w:t>
      </w:r>
      <w:r>
        <w:rPr>
          <w:lang w:eastAsia="ko-KR"/>
        </w:rPr>
        <w:t>R&amp;D cost for the current year × 25%</w:t>
      </w:r>
    </w:p>
    <w:p w:rsidR="0004510E" w:rsidRDefault="0004510E" w:rsidP="0004510E">
      <w:pPr>
        <w:rPr>
          <w:lang w:eastAsia="ko-KR"/>
        </w:rPr>
      </w:pPr>
      <w:r>
        <w:rPr>
          <w:lang w:eastAsia="ko-KR"/>
        </w:rPr>
        <w:t>* Small and medium-sized businessesGradual reduction in deduction rate upon graduation</w:t>
      </w:r>
    </w:p>
    <w:p w:rsidR="0004510E" w:rsidRDefault="0004510E" w:rsidP="0004510E">
      <w:pPr>
        <w:rPr>
          <w:lang w:eastAsia="ko-KR"/>
        </w:rPr>
      </w:pPr>
      <w:r>
        <w:rPr>
          <w:lang w:eastAsia="ko-KR"/>
        </w:rPr>
        <w:t>- After graduating from a small business (including grace period)15% for 3 years, 10% for the next 2 years</w:t>
      </w:r>
      <w:r>
        <w:rPr>
          <w:lang w:eastAsia="ko-KR"/>
        </w:rPr>
        <w:tab/>
        <w:t>※ New deduction rate for mid-sized companies (taxable years starting after January 1, 2013)Many of ①･② thingselect</w:t>
      </w:r>
      <w:r>
        <w:rPr>
          <w:rFonts w:hint="eastAsia"/>
          <w:lang w:eastAsia="ko-KR"/>
        </w:rPr>
        <w:t>①</w:t>
      </w:r>
      <w:r>
        <w:rPr>
          <w:lang w:eastAsia="ko-KR"/>
        </w:rPr>
        <w:t xml:space="preserve"> Previous yearAmount exceeding accrued amount × 40%</w:t>
      </w:r>
      <w:r>
        <w:rPr>
          <w:rFonts w:hint="eastAsia"/>
          <w:lang w:eastAsia="ko-KR"/>
        </w:rPr>
        <w:t>②</w:t>
      </w:r>
      <w:r>
        <w:rPr>
          <w:lang w:eastAsia="ko-KR"/>
        </w:rPr>
        <w:t xml:space="preserve"> Current yearR&amp;D cost ×8%</w:t>
      </w:r>
      <w:r>
        <w:rPr>
          <w:lang w:eastAsia="ko-KR"/>
        </w:rPr>
        <w:t>☞ Mid-sized companies (Article §9③ of the Special Decree)Small and medium-sized businessesProbably notmainThe business is small and medium-sized businesspossession andSatisfying practical independence of anagement</w:t>
      </w:r>
    </w:p>
    <w:p w:rsidR="0004510E" w:rsidRDefault="0004510E" w:rsidP="0004510E">
      <w:pPr>
        <w:rPr>
          <w:lang w:eastAsia="ko-KR"/>
        </w:rPr>
      </w:pPr>
      <w:r>
        <w:rPr>
          <w:lang w:eastAsia="ko-KR"/>
        </w:rPr>
        <w:t xml:space="preserve">eve 3 years average take 500 billionunderTechnology transferand technology cquisitionSpecial taxation provisions for etc. (Article </w:t>
      </w:r>
      <w:r>
        <w:rPr>
          <w:lang w:eastAsia="ko-KR"/>
        </w:rPr>
        <w:t>12 of the Special Taxation Act)</w:t>
      </w:r>
      <w:r>
        <w:rPr>
          <w:lang w:eastAsia="ko-KR"/>
        </w:rPr>
        <w:t>- Medium-sized companiesSame as sm</w:t>
      </w:r>
      <w:r>
        <w:rPr>
          <w:lang w:eastAsia="ko-KR"/>
        </w:rPr>
        <w:t>all and medium-sized businesses</w:t>
      </w:r>
      <w:r>
        <w:rPr>
          <w:lang w:eastAsia="ko-KR"/>
        </w:rPr>
        <w:t>- Patent rights etc. on transfer income Aboutcorporate tax50% discount- Medium-sized companies* Small and Medium Business Departmentsame*Applies to tax years starting after January 1, 2022</w:t>
      </w:r>
      <w:r>
        <w:rPr>
          <w:lang w:eastAsia="ko-KR"/>
        </w:rPr>
        <w:tab/>
        <w:t xml:space="preserve">- Patent rights etc. In rental income Aboutcorporate tax25% discountventure companyTax deduction when investing in etc.(Article 13-2 </w:t>
      </w:r>
      <w:r>
        <w:rPr>
          <w:lang w:eastAsia="ko-KR"/>
        </w:rPr>
        <w:t>of the Special Provisional Act)</w:t>
      </w:r>
      <w:r>
        <w:rPr>
          <w:lang w:eastAsia="ko-KR"/>
        </w:rPr>
        <w:t>Small and</w:t>
      </w:r>
      <w:r>
        <w:rPr>
          <w:lang w:eastAsia="ko-KR"/>
        </w:rPr>
        <w:t xml:space="preserve"> Medium Business Departmentsame</w:t>
      </w:r>
      <w:r>
        <w:rPr>
          <w:lang w:eastAsia="ko-KR"/>
        </w:rPr>
        <w:t>- Venture companyTax deduction of 5% of the investment amount when investing in etc.Performance sharing systemManagement performance tax credit for small and medium-sized businesses (Article 19 of the Special Taxation Act)</w:t>
      </w:r>
      <w:r>
        <w:rPr>
          <w:lang w:eastAsia="ko-KR"/>
        </w:rPr>
        <w:tab/>
        <w:t>Not applicable</w:t>
      </w:r>
      <w:r>
        <w:rPr>
          <w:lang w:eastAsia="ko-KR"/>
        </w:rPr>
        <w:tab/>
        <w:t xml:space="preserve">Performance sharing15% of the management performance bonus paid to employees by small and medium-sized businesses*operating profitDelete any corporate requirements that ariselargest shareholderetc., excluding those whose total salary exceeds 70 million wonIntegrated investment tax credit (Article 24 of the Special Taxation </w:t>
      </w:r>
      <w:r>
        <w:rPr>
          <w:lang w:eastAsia="ko-KR"/>
        </w:rPr>
        <w:lastRenderedPageBreak/>
        <w:t>Act)Facility Investment(%)Tang mood</w:t>
      </w:r>
      <w:r>
        <w:rPr>
          <w:lang w:eastAsia="ko-KR"/>
        </w:rPr>
        <w:t>Increment</w:t>
      </w:r>
      <w:r>
        <w:rPr>
          <w:lang w:eastAsia="ko-KR"/>
        </w:rPr>
        <w:tab/>
        <w:t xml:space="preserve">era Medium Small </w:t>
      </w:r>
      <w:r>
        <w:rPr>
          <w:lang w:eastAsia="ko-KR"/>
        </w:rPr>
        <w:t>One</w:t>
      </w:r>
      <w:r>
        <w:rPr>
          <w:lang w:eastAsia="ko-KR"/>
        </w:rPr>
        <w:t xml:space="preserve"> and a half1)1</w:t>
      </w:r>
      <w:r>
        <w:rPr>
          <w:lang w:eastAsia="ko-KR"/>
        </w:rPr>
        <w:t>310</w:t>
      </w:r>
      <w:r>
        <w:rPr>
          <w:lang w:eastAsia="ko-KR"/>
        </w:rPr>
        <w:tab/>
        <w:t>3</w:t>
      </w:r>
    </w:p>
    <w:p w:rsidR="0004510E" w:rsidRDefault="0004510E" w:rsidP="0004510E">
      <w:pPr>
        <w:rPr>
          <w:lang w:eastAsia="ko-KR"/>
        </w:rPr>
      </w:pPr>
      <w:r>
        <w:rPr>
          <w:lang w:eastAsia="ko-KR"/>
        </w:rPr>
        <w:t>N</w:t>
      </w:r>
      <w:r>
        <w:rPr>
          <w:lang w:eastAsia="ko-KR"/>
        </w:rPr>
        <w:t>ew Growth &amp; Original Technology35</w:t>
      </w:r>
      <w:r>
        <w:rPr>
          <w:lang w:eastAsia="ko-KR"/>
        </w:rPr>
        <w:t>12</w:t>
      </w:r>
      <w:r>
        <w:rPr>
          <w:lang w:eastAsia="ko-KR"/>
        </w:rPr>
        <w:tab/>
        <w:t>Nat</w:t>
      </w:r>
      <w:r>
        <w:rPr>
          <w:lang w:eastAsia="ko-KR"/>
        </w:rPr>
        <w:t>ional Strategic Technology 2)</w:t>
      </w:r>
      <w:r>
        <w:rPr>
          <w:lang w:eastAsia="ko-KR"/>
        </w:rPr>
        <w:tab/>
        <w:t>6816</w:t>
      </w:r>
      <w:r>
        <w:rPr>
          <w:lang w:eastAsia="ko-KR"/>
        </w:rPr>
        <w:t>41) Deductible assets : ① Tangible assets for business (however, land, buildings,Excluding vehicles, equipment, etc.)</w:t>
      </w:r>
      <w:r>
        <w:rPr>
          <w:rFonts w:hint="eastAsia"/>
          <w:lang w:eastAsia="ko-KR"/>
        </w:rPr>
        <w:t>②</w:t>
      </w:r>
      <w:r>
        <w:rPr>
          <w:lang w:eastAsia="ko-KR"/>
        </w:rPr>
        <w:t xml:space="preserve"> Some Tangible assets (excluding ①) andintangible assets</w:t>
      </w:r>
    </w:p>
    <w:p w:rsidR="00C13203" w:rsidRPr="0004510E" w:rsidRDefault="0004510E" w:rsidP="0004510E">
      <w:pPr>
        <w:rPr>
          <w:lang w:eastAsia="ko-KR"/>
        </w:rPr>
      </w:pPr>
      <w:r>
        <w:rPr>
          <w:lang w:eastAsia="ko-KR"/>
        </w:rPr>
        <w:t>2) '21.7.1.Applicable to those who invest in facilities</w:t>
      </w:r>
      <w:bookmarkStart w:id="0" w:name="_GoBack"/>
      <w:bookmarkEnd w:id="0"/>
    </w:p>
    <w:sectPr w:rsidR="00C13203" w:rsidRPr="0004510E">
      <w:headerReference w:type="even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F00" w:rsidRDefault="00861F00">
      <w:r>
        <w:separator/>
      </w:r>
    </w:p>
  </w:endnote>
  <w:endnote w:type="continuationSeparator" w:id="0">
    <w:p w:rsidR="00861F00" w:rsidRDefault="0086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F00" w:rsidRDefault="00861F00">
      <w:r>
        <w:separator/>
      </w:r>
    </w:p>
  </w:footnote>
  <w:footnote w:type="continuationSeparator" w:id="0">
    <w:p w:rsidR="00861F00" w:rsidRDefault="00861F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214" w:rsidRDefault="00861F00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E5918"/>
    <w:multiLevelType w:val="hybridMultilevel"/>
    <w:tmpl w:val="71E4B6F6"/>
    <w:lvl w:ilvl="0" w:tplc="A60CB134">
      <w:numFmt w:val="bullet"/>
      <w:lvlText w:val="-"/>
      <w:lvlJc w:val="left"/>
      <w:pPr>
        <w:ind w:left="209" w:hanging="156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96"/>
        <w:sz w:val="20"/>
        <w:szCs w:val="20"/>
        <w:lang w:val="vi" w:eastAsia="en-US" w:bidi="ar-SA"/>
      </w:rPr>
    </w:lvl>
    <w:lvl w:ilvl="1" w:tplc="A50422C4">
      <w:numFmt w:val="bullet"/>
      <w:lvlText w:val="*"/>
      <w:lvlJc w:val="left"/>
      <w:pPr>
        <w:ind w:left="383" w:hanging="161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76"/>
        <w:sz w:val="18"/>
        <w:szCs w:val="18"/>
        <w:lang w:val="vi" w:eastAsia="en-US" w:bidi="ar-SA"/>
      </w:rPr>
    </w:lvl>
    <w:lvl w:ilvl="2" w:tplc="05AE66D2">
      <w:numFmt w:val="bullet"/>
      <w:lvlText w:val="•"/>
      <w:lvlJc w:val="left"/>
      <w:pPr>
        <w:ind w:left="671" w:hanging="161"/>
      </w:pPr>
      <w:rPr>
        <w:rFonts w:hint="default"/>
        <w:lang w:val="vi" w:eastAsia="en-US" w:bidi="ar-SA"/>
      </w:rPr>
    </w:lvl>
    <w:lvl w:ilvl="3" w:tplc="13F01BAE">
      <w:numFmt w:val="bullet"/>
      <w:lvlText w:val="•"/>
      <w:lvlJc w:val="left"/>
      <w:pPr>
        <w:ind w:left="962" w:hanging="161"/>
      </w:pPr>
      <w:rPr>
        <w:rFonts w:hint="default"/>
        <w:lang w:val="vi" w:eastAsia="en-US" w:bidi="ar-SA"/>
      </w:rPr>
    </w:lvl>
    <w:lvl w:ilvl="4" w:tplc="2E04C574">
      <w:numFmt w:val="bullet"/>
      <w:lvlText w:val="•"/>
      <w:lvlJc w:val="left"/>
      <w:pPr>
        <w:ind w:left="1253" w:hanging="161"/>
      </w:pPr>
      <w:rPr>
        <w:rFonts w:hint="default"/>
        <w:lang w:val="vi" w:eastAsia="en-US" w:bidi="ar-SA"/>
      </w:rPr>
    </w:lvl>
    <w:lvl w:ilvl="5" w:tplc="9B3020B4">
      <w:numFmt w:val="bullet"/>
      <w:lvlText w:val="•"/>
      <w:lvlJc w:val="left"/>
      <w:pPr>
        <w:ind w:left="1544" w:hanging="161"/>
      </w:pPr>
      <w:rPr>
        <w:rFonts w:hint="default"/>
        <w:lang w:val="vi" w:eastAsia="en-US" w:bidi="ar-SA"/>
      </w:rPr>
    </w:lvl>
    <w:lvl w:ilvl="6" w:tplc="F29E2F1A">
      <w:numFmt w:val="bullet"/>
      <w:lvlText w:val="•"/>
      <w:lvlJc w:val="left"/>
      <w:pPr>
        <w:ind w:left="1835" w:hanging="161"/>
      </w:pPr>
      <w:rPr>
        <w:rFonts w:hint="default"/>
        <w:lang w:val="vi" w:eastAsia="en-US" w:bidi="ar-SA"/>
      </w:rPr>
    </w:lvl>
    <w:lvl w:ilvl="7" w:tplc="78C0D3DC">
      <w:numFmt w:val="bullet"/>
      <w:lvlText w:val="•"/>
      <w:lvlJc w:val="left"/>
      <w:pPr>
        <w:ind w:left="2126" w:hanging="161"/>
      </w:pPr>
      <w:rPr>
        <w:rFonts w:hint="default"/>
        <w:lang w:val="vi" w:eastAsia="en-US" w:bidi="ar-SA"/>
      </w:rPr>
    </w:lvl>
    <w:lvl w:ilvl="8" w:tplc="1B8E8BB6">
      <w:numFmt w:val="bullet"/>
      <w:lvlText w:val="•"/>
      <w:lvlJc w:val="left"/>
      <w:pPr>
        <w:ind w:left="2417" w:hanging="161"/>
      </w:pPr>
      <w:rPr>
        <w:rFonts w:hint="default"/>
        <w:lang w:val="vi" w:eastAsia="en-US" w:bidi="ar-SA"/>
      </w:rPr>
    </w:lvl>
  </w:abstractNum>
  <w:abstractNum w:abstractNumId="1">
    <w:nsid w:val="794B0E11"/>
    <w:multiLevelType w:val="hybridMultilevel"/>
    <w:tmpl w:val="C63ED2BE"/>
    <w:lvl w:ilvl="0" w:tplc="6AAA82B2">
      <w:start w:val="1"/>
      <w:numFmt w:val="decimal"/>
      <w:lvlText w:val="%1."/>
      <w:lvlJc w:val="left"/>
      <w:pPr>
        <w:ind w:left="413" w:hanging="191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6"/>
        <w:w w:val="80"/>
        <w:sz w:val="18"/>
        <w:szCs w:val="18"/>
        <w:lang w:val="vi" w:eastAsia="en-US" w:bidi="ar-SA"/>
      </w:rPr>
    </w:lvl>
    <w:lvl w:ilvl="1" w:tplc="4EF801C2">
      <w:numFmt w:val="bullet"/>
      <w:lvlText w:val="•"/>
      <w:lvlJc w:val="left"/>
      <w:pPr>
        <w:ind w:left="677" w:hanging="191"/>
      </w:pPr>
      <w:rPr>
        <w:rFonts w:hint="default"/>
        <w:lang w:val="vi" w:eastAsia="en-US" w:bidi="ar-SA"/>
      </w:rPr>
    </w:lvl>
    <w:lvl w:ilvl="2" w:tplc="B26458EE">
      <w:numFmt w:val="bullet"/>
      <w:lvlText w:val="•"/>
      <w:lvlJc w:val="left"/>
      <w:pPr>
        <w:ind w:left="935" w:hanging="191"/>
      </w:pPr>
      <w:rPr>
        <w:rFonts w:hint="default"/>
        <w:lang w:val="vi" w:eastAsia="en-US" w:bidi="ar-SA"/>
      </w:rPr>
    </w:lvl>
    <w:lvl w:ilvl="3" w:tplc="F9887282">
      <w:numFmt w:val="bullet"/>
      <w:lvlText w:val="•"/>
      <w:lvlJc w:val="left"/>
      <w:pPr>
        <w:ind w:left="1193" w:hanging="191"/>
      </w:pPr>
      <w:rPr>
        <w:rFonts w:hint="default"/>
        <w:lang w:val="vi" w:eastAsia="en-US" w:bidi="ar-SA"/>
      </w:rPr>
    </w:lvl>
    <w:lvl w:ilvl="4" w:tplc="4126DE76">
      <w:numFmt w:val="bullet"/>
      <w:lvlText w:val="•"/>
      <w:lvlJc w:val="left"/>
      <w:pPr>
        <w:ind w:left="1451" w:hanging="191"/>
      </w:pPr>
      <w:rPr>
        <w:rFonts w:hint="default"/>
        <w:lang w:val="vi" w:eastAsia="en-US" w:bidi="ar-SA"/>
      </w:rPr>
    </w:lvl>
    <w:lvl w:ilvl="5" w:tplc="0240D1C6">
      <w:numFmt w:val="bullet"/>
      <w:lvlText w:val="•"/>
      <w:lvlJc w:val="left"/>
      <w:pPr>
        <w:ind w:left="1709" w:hanging="191"/>
      </w:pPr>
      <w:rPr>
        <w:rFonts w:hint="default"/>
        <w:lang w:val="vi" w:eastAsia="en-US" w:bidi="ar-SA"/>
      </w:rPr>
    </w:lvl>
    <w:lvl w:ilvl="6" w:tplc="50DEB998">
      <w:numFmt w:val="bullet"/>
      <w:lvlText w:val="•"/>
      <w:lvlJc w:val="left"/>
      <w:pPr>
        <w:ind w:left="1967" w:hanging="191"/>
      </w:pPr>
      <w:rPr>
        <w:rFonts w:hint="default"/>
        <w:lang w:val="vi" w:eastAsia="en-US" w:bidi="ar-SA"/>
      </w:rPr>
    </w:lvl>
    <w:lvl w:ilvl="7" w:tplc="B1DE185A">
      <w:numFmt w:val="bullet"/>
      <w:lvlText w:val="•"/>
      <w:lvlJc w:val="left"/>
      <w:pPr>
        <w:ind w:left="2225" w:hanging="191"/>
      </w:pPr>
      <w:rPr>
        <w:rFonts w:hint="default"/>
        <w:lang w:val="vi" w:eastAsia="en-US" w:bidi="ar-SA"/>
      </w:rPr>
    </w:lvl>
    <w:lvl w:ilvl="8" w:tplc="A080F2C2">
      <w:numFmt w:val="bullet"/>
      <w:lvlText w:val="•"/>
      <w:lvlJc w:val="left"/>
      <w:pPr>
        <w:ind w:left="2483" w:hanging="191"/>
      </w:pPr>
      <w:rPr>
        <w:rFonts w:hint="default"/>
        <w:lang w:val="vi" w:eastAsia="en-US" w:bidi="ar-SA"/>
      </w:rPr>
    </w:lvl>
  </w:abstractNum>
  <w:abstractNum w:abstractNumId="2">
    <w:nsid w:val="7AA67D0B"/>
    <w:multiLevelType w:val="hybridMultilevel"/>
    <w:tmpl w:val="8F729658"/>
    <w:lvl w:ilvl="0" w:tplc="97AE9124">
      <w:start w:val="1"/>
      <w:numFmt w:val="decimal"/>
      <w:lvlText w:val="%1)"/>
      <w:lvlJc w:val="left"/>
      <w:pPr>
        <w:ind w:left="760" w:hanging="360"/>
      </w:pPr>
      <w:rPr>
        <w:rFonts w:hint="eastAsia"/>
        <w:w w:val="9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BD01DAB"/>
    <w:multiLevelType w:val="hybridMultilevel"/>
    <w:tmpl w:val="C2609584"/>
    <w:lvl w:ilvl="0" w:tplc="7DA6B56C">
      <w:start w:val="1"/>
      <w:numFmt w:val="decimal"/>
      <w:lvlText w:val="%1)"/>
      <w:lvlJc w:val="left"/>
      <w:pPr>
        <w:ind w:left="285" w:hanging="234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6"/>
        <w:w w:val="82"/>
        <w:sz w:val="18"/>
        <w:szCs w:val="18"/>
        <w:lang w:val="vi" w:eastAsia="en-US" w:bidi="ar-SA"/>
      </w:rPr>
    </w:lvl>
    <w:lvl w:ilvl="1" w:tplc="769CB9D8">
      <w:numFmt w:val="bullet"/>
      <w:lvlText w:val="•"/>
      <w:lvlJc w:val="left"/>
      <w:pPr>
        <w:ind w:left="852" w:hanging="234"/>
      </w:pPr>
      <w:rPr>
        <w:rFonts w:hint="default"/>
        <w:lang w:val="vi" w:eastAsia="en-US" w:bidi="ar-SA"/>
      </w:rPr>
    </w:lvl>
    <w:lvl w:ilvl="2" w:tplc="262E05F6">
      <w:numFmt w:val="bullet"/>
      <w:lvlText w:val="•"/>
      <w:lvlJc w:val="left"/>
      <w:pPr>
        <w:ind w:left="1424" w:hanging="234"/>
      </w:pPr>
      <w:rPr>
        <w:rFonts w:hint="default"/>
        <w:lang w:val="vi" w:eastAsia="en-US" w:bidi="ar-SA"/>
      </w:rPr>
    </w:lvl>
    <w:lvl w:ilvl="3" w:tplc="0B7E2408">
      <w:numFmt w:val="bullet"/>
      <w:lvlText w:val="•"/>
      <w:lvlJc w:val="left"/>
      <w:pPr>
        <w:ind w:left="1996" w:hanging="234"/>
      </w:pPr>
      <w:rPr>
        <w:rFonts w:hint="default"/>
        <w:lang w:val="vi" w:eastAsia="en-US" w:bidi="ar-SA"/>
      </w:rPr>
    </w:lvl>
    <w:lvl w:ilvl="4" w:tplc="8DE8630E">
      <w:numFmt w:val="bullet"/>
      <w:lvlText w:val="•"/>
      <w:lvlJc w:val="left"/>
      <w:pPr>
        <w:ind w:left="2568" w:hanging="234"/>
      </w:pPr>
      <w:rPr>
        <w:rFonts w:hint="default"/>
        <w:lang w:val="vi" w:eastAsia="en-US" w:bidi="ar-SA"/>
      </w:rPr>
    </w:lvl>
    <w:lvl w:ilvl="5" w:tplc="6AE06C1C">
      <w:numFmt w:val="bullet"/>
      <w:lvlText w:val="•"/>
      <w:lvlJc w:val="left"/>
      <w:pPr>
        <w:ind w:left="3141" w:hanging="234"/>
      </w:pPr>
      <w:rPr>
        <w:rFonts w:hint="default"/>
        <w:lang w:val="vi" w:eastAsia="en-US" w:bidi="ar-SA"/>
      </w:rPr>
    </w:lvl>
    <w:lvl w:ilvl="6" w:tplc="D8CCA750">
      <w:numFmt w:val="bullet"/>
      <w:lvlText w:val="•"/>
      <w:lvlJc w:val="left"/>
      <w:pPr>
        <w:ind w:left="3713" w:hanging="234"/>
      </w:pPr>
      <w:rPr>
        <w:rFonts w:hint="default"/>
        <w:lang w:val="vi" w:eastAsia="en-US" w:bidi="ar-SA"/>
      </w:rPr>
    </w:lvl>
    <w:lvl w:ilvl="7" w:tplc="420C1B9C">
      <w:numFmt w:val="bullet"/>
      <w:lvlText w:val="•"/>
      <w:lvlJc w:val="left"/>
      <w:pPr>
        <w:ind w:left="4285" w:hanging="234"/>
      </w:pPr>
      <w:rPr>
        <w:rFonts w:hint="default"/>
        <w:lang w:val="vi" w:eastAsia="en-US" w:bidi="ar-SA"/>
      </w:rPr>
    </w:lvl>
    <w:lvl w:ilvl="8" w:tplc="90E2C226">
      <w:numFmt w:val="bullet"/>
      <w:lvlText w:val="•"/>
      <w:lvlJc w:val="left"/>
      <w:pPr>
        <w:ind w:left="4857" w:hanging="234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AD"/>
    <w:rsid w:val="0004510E"/>
    <w:rsid w:val="000F55B7"/>
    <w:rsid w:val="00542768"/>
    <w:rsid w:val="00756C2F"/>
    <w:rsid w:val="00791A72"/>
    <w:rsid w:val="00851A1F"/>
    <w:rsid w:val="00861F00"/>
    <w:rsid w:val="00AA08F7"/>
    <w:rsid w:val="00AE1CAD"/>
    <w:rsid w:val="00C13203"/>
    <w:rsid w:val="00CD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60ADB-F0D1-4288-83A5-CAFBF583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CAD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E1CAD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AE1CAD"/>
  </w:style>
  <w:style w:type="character" w:customStyle="1" w:styleId="Char">
    <w:name w:val="본문 Char"/>
    <w:basedOn w:val="a0"/>
    <w:link w:val="a3"/>
    <w:uiPriority w:val="1"/>
    <w:rsid w:val="00AE1CAD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customStyle="1" w:styleId="TableParagraph">
    <w:name w:val="Table Paragraph"/>
    <w:basedOn w:val="a"/>
    <w:qFormat/>
    <w:rsid w:val="00AE1CAD"/>
  </w:style>
  <w:style w:type="paragraph" w:styleId="a4">
    <w:name w:val="No Spacing"/>
    <w:uiPriority w:val="1"/>
    <w:qFormat/>
    <w:rsid w:val="00851A1F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9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2023-10-13T16:18:00Z</dcterms:created>
  <dcterms:modified xsi:type="dcterms:W3CDTF">2023-10-13T16:18:00Z</dcterms:modified>
</cp:coreProperties>
</file>