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61FA" w14:textId="6D4868FA" w:rsidR="009317EE" w:rsidRDefault="00173A5D">
      <w:r>
        <w:t xml:space="preserve">검토사항 적합 여부 대손가능 채권 대손금으로 손금산입한 </w:t>
      </w:r>
      <w:proofErr w:type="spellStart"/>
      <w:r>
        <w:t>채권이「법인세법</w:t>
      </w:r>
      <w:proofErr w:type="spellEnd"/>
      <w:r>
        <w:t xml:space="preserve">」 제19조의2 제2항 각 호의 어느 하나에 해당하지 않는지 여부 ① 채무보증으로 인하여 발생한 구상채권 ⇒ 다만, 다음의 채무보증으로 인한 구상채권은 손금으로 인정 ⅰ) 독점규제 및 공정거래에 관한 법률 제10조의2 제1항 각 호의 어느 하나에 해당하는 채무보증 ⅱ) 금융회사 등(법령§61②)이 행한 채무보증 ⅲ) 법률에 따라 신용보증사업을 영위하는 법인이 행한 채무보증 ⅳ) </w:t>
      </w:r>
      <w:proofErr w:type="spellStart"/>
      <w:r>
        <w:t>대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중소기업</w:t>
      </w:r>
      <w:proofErr w:type="spellEnd"/>
      <w:r>
        <w:t xml:space="preserve"> 상생협력 촉진에 관한 법률에 따른 위탁기업이 수탁기업협의회의 구성원인 수탁기업에 대하여 행한 채무보증 ⅴ) 건설업 및 전기 통신업을 영위하는 내국법인이 건설사업과 직접 관련하여 특수관계인에 해당하지 아니하는 자에 대한 채무보증. 다만, 사회기반시설에 대한 민간투자법 제2조 제7호의 사업시행자 등에 대한 채무보증은 특수관계인에 대한 채무보증을 포함함 ② 특수관계인에 대한 업무무관 가지급금 예 아니요 대손사유 법인세법 시행령 제19조의2 제1항 각 호의 어느 하나에 해당하는 사유로 회수할 수 없는 채권에 해당하는지 여부 ① 상법에 따른 소멸시효가 완성된 외상매출금 및 미수금 ② 어음법에 따른 소멸시효가 완성된 어음 ③ 수표법에 따른 소멸시효가 완성된 수표 ④ 민법에 따른 소멸시효가 완성된 대여금 및 선급금 ⑤ 회생계획인가의 결정 또는 법원의 면책결정에 따라 회수불능으로 확정된 채권 ⑤-2 서민의 금융생활 지원에 관한 법률에 따른 채무조정을 받아 동법 제75조의 신용회복지원협약에 따라 면책으로 확정된 채권 ⑥ 민사집행법 제102조에 따라 채무자 재산에 대한 경매가 취소된 압류채권 ⑦ 물품의 수출 또는 외국에서 용역제공으로 발생한 채권으로서 무역보험법 제37조에 따른 </w:t>
      </w:r>
      <w:proofErr w:type="spellStart"/>
      <w:r>
        <w:t>한국무역보험공사로부터</w:t>
      </w:r>
      <w:proofErr w:type="spellEnd"/>
      <w:r>
        <w:t xml:space="preserve"> 회수불능으로 확인된 채권 ⑧ 채무자의 파산, 강제집행, 형의 집행, 사업의 폐지, 사망, 실종 또는 행방 불명으로 회수할 수 없는 채권 ⑨ 부도발생일부터 6개월 이상 지난 수표 또는 어음상의 채권 및 외상매출금 (중소기업의 외상매출금으로서 부도발생일 이전의 것) 다만, 저당권을 설정하고 있는 경우는 제외함 ⑨-2 중소기업의 외상매출금 및 미수금으로서 회수기일이 2년이상 지난 외상매출금 등. 다만, 특수관계인과의 거래로 인한 외상매출금 등은 제외 ⑩ 민사소송법에 따른 화해, 화해권고결정, 민사조정법§30에 따른 결정, 조정 등에 따라 회수불능으로 확정된 채권 ⑪ 회수기일이 6개월 이상 지난 채권 중 </w:t>
      </w:r>
      <w:proofErr w:type="spellStart"/>
      <w:r>
        <w:t>채권가액이</w:t>
      </w:r>
      <w:proofErr w:type="spellEnd"/>
      <w:r>
        <w:t xml:space="preserve"> 30만원 이하(채무자별 </w:t>
      </w:r>
      <w:proofErr w:type="spellStart"/>
      <w:r>
        <w:t>채권가액</w:t>
      </w:r>
      <w:proofErr w:type="spellEnd"/>
      <w:r>
        <w:t xml:space="preserve"> 합계액 기준)인 채권 ⑫ 금융회사 등의 채권으로 다음 중 어느 하나에 해당하는 채권 ⅰ. 금융감독원장이 기획재정부장관과 협의하여 정한 대손처리기준에 따라 금융감독원장으로부터 대손금으로 </w:t>
      </w:r>
      <w:proofErr w:type="spellStart"/>
      <w:r>
        <w:t>승인받은</w:t>
      </w:r>
      <w:proofErr w:type="spellEnd"/>
      <w:r>
        <w:t xml:space="preserve"> 것 ⅱ. 금융감독원장이 ⅰ의 기준에 해당한다고 인정하여 대손처리를 요구한 채권으로 대손금으로 계상한 것 ⑬ 중소기업창업투자회사의 창업자에 대한 채권으로서 </w:t>
      </w:r>
      <w:proofErr w:type="spellStart"/>
      <w:r>
        <w:t>중소벤처기업부장관이</w:t>
      </w:r>
      <w:proofErr w:type="spellEnd"/>
      <w:r>
        <w:t xml:space="preserve"> 기획재정부장관과 협의하여 정한 기준에 해당한다고 인정한 것 예 아니요 손금공제 시기 대손금으로 공제한 사업연도가 적정한지 여부 - 대손사유 ①∼</w:t>
      </w:r>
      <w:proofErr w:type="gramStart"/>
      <w:r>
        <w:t>⑥ :</w:t>
      </w:r>
      <w:proofErr w:type="gramEnd"/>
      <w:r>
        <w:t xml:space="preserve"> 해당 사유가 발생한 날이 속하는 사업연도 - 대손사유 ⑧∼⑬ : 해당 사유가 발생하여 </w:t>
      </w:r>
      <w:proofErr w:type="spellStart"/>
      <w:r>
        <w:t>손비로</w:t>
      </w:r>
      <w:proofErr w:type="spellEnd"/>
      <w:r>
        <w:t xml:space="preserve"> 계상한 날이 속하는 사업연도 예 아니요 </w:t>
      </w:r>
      <w:proofErr w:type="spellStart"/>
      <w:r>
        <w:t>상각채권</w:t>
      </w:r>
      <w:proofErr w:type="spellEnd"/>
      <w:r>
        <w:t xml:space="preserve"> 회수 대손금으로 손금산입한 채권을 회수한 경우로서 그 회수한 날이 속하는 사업연도의 </w:t>
      </w:r>
      <w:proofErr w:type="spellStart"/>
      <w:r>
        <w:t>익금으로</w:t>
      </w:r>
      <w:proofErr w:type="spellEnd"/>
      <w:r>
        <w:t xml:space="preserve"> 계상하였는지 여부 예 아니요 약정에 의한 채권 </w:t>
      </w:r>
      <w:proofErr w:type="spellStart"/>
      <w:r>
        <w:t>포기액</w:t>
      </w:r>
      <w:proofErr w:type="spellEnd"/>
      <w:r>
        <w:t xml:space="preserve"> 약정에 의하여 채권의 전부 또는 일부를 포기하는 경우에 이를 기부금 또는 접대비로 보아 적정하게 세무조정 하였는지 여부 다만, 특수관계인 외의 자</w:t>
      </w:r>
      <w:r>
        <w:lastRenderedPageBreak/>
        <w:t>와의 거래에서 발생한 채권에 대해 불가피하게 포기한 경우로서 객관적으로 정당한 사유가 있는 때에는 손금에 산입 예 아니요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5D"/>
    <w:rsid w:val="00173A5D"/>
    <w:rsid w:val="002A263F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FFCE"/>
  <w15:chartTrackingRefBased/>
  <w15:docId w15:val="{7236CBF7-8C39-4407-976B-B6B713F8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2023-09-22T06:02:00Z</dcterms:created>
  <dcterms:modified xsi:type="dcterms:W3CDTF">2023-10-05T01:52:00Z</dcterms:modified>
</cp:coreProperties>
</file>