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608" w14:textId="254D0852" w:rsidR="009317EE" w:rsidRPr="000C157A" w:rsidRDefault="000C157A" w:rsidP="000C157A">
      <w:r>
        <w:t xml:space="preserve">(뒤 쪽) 작성방법 ※ 각 사업연도에 계상한 자산 </w:t>
      </w:r>
      <w:r>
        <w:rPr>
          <w:rFonts w:ascii="MS Mincho" w:eastAsia="MS Mincho" w:hAnsi="MS Mincho" w:cs="MS Mincho" w:hint="eastAsia"/>
        </w:rPr>
        <w:t>･</w:t>
      </w:r>
      <w:r>
        <w:t xml:space="preserve"> 비용 중 지출증명서류 수취대상 거래가 있는 계정의 금액에서 법인세법 제116조 제2항에 따른 지출증명서류 수취금액을 공제한 차이금액을 작성해야 합니다. 1. 표준대차대조표 계정과목별 지출증명서류 수취금액 </w:t>
      </w:r>
      <w:r>
        <w:t xml:space="preserve"> </w:t>
      </w:r>
      <w:r>
        <w:t>a. 해당 사업연도에 계상한 자산에 대하여 작성합니다.</w:t>
      </w:r>
      <w:r>
        <w:t xml:space="preserve"> </w:t>
      </w:r>
      <w:r>
        <w:t>b. 계정과목(① ~ ③란): 해당 사업연도에 추가로 계상한 자산에 대하여 표준대차대조표(별지 제3호의2서식)의 각 계정과목별 코드, 계정과목명, 금액(해당 사업연도 취득금액)을 적습니다. c. 지출증명서류 수취금액(④ ~ ⑨란): 각 계정과목별로 신용카드 매출전표등 「법인세법」 제116조제2항 각 호의 지출증명서류 수취금액을 적습니다. 다만, 개인 신용카드 등(⑥)의 경우에는 법인 업무용으로 사용된 것으로 「법인세법」상 인정되는 것에 한정하여 적습니다. d. 수취 제외대상금액(⑩란):지출증명서류 수취대상 거래가 아닌 유가증권, 대여금, 이자비용 등 관련 거래금액을 적습니다.(</w:t>
      </w:r>
      <w:r>
        <w:rPr>
          <w:rFonts w:ascii="MS Mincho" w:eastAsia="MS Mincho" w:hAnsi="MS Mincho" w:cs="MS Mincho" w:hint="eastAsia"/>
        </w:rPr>
        <w:t>㉒</w:t>
      </w:r>
      <w:r>
        <w:t>,</w:t>
      </w:r>
      <w:r>
        <w:rPr>
          <w:rFonts w:ascii="MS Mincho" w:eastAsia="MS Mincho" w:hAnsi="MS Mincho" w:cs="MS Mincho" w:hint="eastAsia"/>
        </w:rPr>
        <w:t>㉟</w:t>
      </w:r>
      <w:r>
        <w:t xml:space="preserve"> 동일)</w:t>
      </w:r>
      <w:r>
        <w:t xml:space="preserve"> </w:t>
      </w:r>
      <w:r>
        <w:t>2. 표준손익계산서 계정과목별 지출증명서류 수취금액</w:t>
      </w:r>
      <w:r>
        <w:rPr>
          <w:rFonts w:hint="eastAsia"/>
        </w:rPr>
        <w:t xml:space="preserve"> </w:t>
      </w:r>
      <w:r>
        <w:t>a. 해당 사업연도에 계상한 비용에 대하여 작성합니다. b. 계정과목(⑬~⑮란): 해당 사업연도에 계상한 비용에 대하여 표준손익계산서(별지 제3호의3서식)의 각 계정과목별 코드, 계정과목명, 금액(손익계산서 금액)을 적습니다. c. 지출증명서류 수취금액(</w:t>
      </w:r>
      <w:r>
        <w:rPr>
          <w:rFonts w:ascii="Cambria Math" w:hAnsi="Cambria Math" w:cs="Cambria Math"/>
        </w:rPr>
        <w:t>⑯</w:t>
      </w:r>
      <w:r>
        <w:t>~</w:t>
      </w:r>
      <w:r>
        <w:rPr>
          <w:rFonts w:ascii="MS Mincho" w:eastAsia="MS Mincho" w:hAnsi="MS Mincho" w:cs="MS Mincho" w:hint="eastAsia"/>
        </w:rPr>
        <w:t>㉑</w:t>
      </w:r>
      <w:r>
        <w:rPr>
          <w:rFonts w:ascii="맑은 고딕" w:eastAsia="맑은 고딕" w:hAnsi="맑은 고딕" w:cs="맑은 고딕" w:hint="eastAsia"/>
        </w:rPr>
        <w:t>란</w:t>
      </w:r>
      <w:r>
        <w:t>): 각 계정과목별로 신용카드 매출전표등 「법인세법」 제116조제2항 각 호의 지출증명서류 수취금액을 적습니다. 다만, 개인 신용카드 등 (</w:t>
      </w:r>
      <w:r>
        <w:rPr>
          <w:rFonts w:ascii="Cambria Math" w:hAnsi="Cambria Math" w:cs="Cambria Math"/>
        </w:rPr>
        <w:t>⑱</w:t>
      </w:r>
      <w:r>
        <w:t>)의 경우에는 법인 업무용으로 사용된 것으로 「법인세법」상 인정되는 것에 한정하여 적습니다.</w:t>
      </w:r>
      <w:r w:rsidR="00A84D35">
        <w:t xml:space="preserve"> </w:t>
      </w:r>
      <w:r>
        <w:t xml:space="preserve"> d. 표준손익계산서(일반법인용)의 당기총원가(코드 44)의 경우 표준손익계산서부속명세서 각 계정과목별로 “</w:t>
      </w:r>
      <w:r w:rsidR="00A84D35">
        <w:t xml:space="preserve"> </w:t>
      </w:r>
      <w:r>
        <w:t>3.표준손익계산서 부속명세서 계정과목별 지출증명서류 수취금액”에 적습니다. 3. 표준손익계산서 부속명세서 계정과목별 지출증명서류 수취금액 a. 해당 사업연도에 계상한 비용에 대하여 작성합니다. b. 구분(</w:t>
      </w:r>
      <w:r>
        <w:rPr>
          <w:rFonts w:ascii="MS Mincho" w:eastAsia="MS Mincho" w:hAnsi="MS Mincho" w:cs="MS Mincho" w:hint="eastAsia"/>
        </w:rPr>
        <w:t>㉕</w:t>
      </w:r>
      <w:r>
        <w:rPr>
          <w:rFonts w:ascii="맑은 고딕" w:eastAsia="맑은 고딕" w:hAnsi="맑은 고딕" w:cs="맑은 고딕" w:hint="eastAsia"/>
        </w:rPr>
        <w:t>란</w:t>
      </w:r>
      <w:r>
        <w:t>) : 해당 부속명세서에 따라 아래의 코드를 적습니다. 구분 제조 공사 임대 분양 운송 기타 코드 41 42 43 44 45 46</w:t>
      </w:r>
      <w:r w:rsidR="00A84D35">
        <w:t xml:space="preserve"> </w:t>
      </w:r>
      <w:r>
        <w:t xml:space="preserve"> c. 계정과목(</w:t>
      </w:r>
      <w:r>
        <w:rPr>
          <w:rFonts w:ascii="MS Mincho" w:eastAsia="MS Mincho" w:hAnsi="MS Mincho" w:cs="MS Mincho" w:hint="eastAsia"/>
        </w:rPr>
        <w:t>㉕</w:t>
      </w:r>
      <w:r>
        <w:t>~</w:t>
      </w:r>
      <w:r>
        <w:rPr>
          <w:rFonts w:ascii="MS Mincho" w:eastAsia="MS Mincho" w:hAnsi="MS Mincho" w:cs="MS Mincho" w:hint="eastAsia"/>
        </w:rPr>
        <w:t>㉘</w:t>
      </w:r>
      <w:r>
        <w:rPr>
          <w:rFonts w:ascii="맑은 고딕" w:eastAsia="맑은 고딕" w:hAnsi="맑은 고딕" w:cs="맑은 고딕" w:hint="eastAsia"/>
        </w:rPr>
        <w:t>란</w:t>
      </w:r>
      <w:r>
        <w:t>): 해당 사업연도에 계상한 비용에 대하여 “부속명세서[별지 제3호의3(3)서식]”의 각 계정과목별 코드, 계정과목명, 금액(부속명세서 금액)을 적습니다. d. 지출증명서류 수취금액(</w:t>
      </w:r>
      <w:r>
        <w:rPr>
          <w:rFonts w:ascii="MS Mincho" w:eastAsia="MS Mincho" w:hAnsi="MS Mincho" w:cs="MS Mincho" w:hint="eastAsia"/>
        </w:rPr>
        <w:t>㉙</w:t>
      </w:r>
      <w:r>
        <w:t>~</w:t>
      </w:r>
      <w:r>
        <w:rPr>
          <w:rFonts w:ascii="MS Mincho" w:eastAsia="MS Mincho" w:hAnsi="MS Mincho" w:cs="MS Mincho" w:hint="eastAsia"/>
        </w:rPr>
        <w:t>㉞</w:t>
      </w:r>
      <w:r>
        <w:rPr>
          <w:rFonts w:ascii="맑은 고딕" w:eastAsia="맑은 고딕" w:hAnsi="맑은 고딕" w:cs="맑은 고딕" w:hint="eastAsia"/>
        </w:rPr>
        <w:t>란</w:t>
      </w:r>
      <w:r>
        <w:t>): 각 계정과목별로 신용카드 매출전표등 「법인세법」 제116조제2항 각 호의 지출증명 서류 수취금액을 적습니다. 다만, 개인 신용카드 등(</w:t>
      </w:r>
      <w:r>
        <w:rPr>
          <w:rFonts w:ascii="MS Mincho" w:eastAsia="MS Mincho" w:hAnsi="MS Mincho" w:cs="MS Mincho" w:hint="eastAsia"/>
        </w:rPr>
        <w:t>㉛</w:t>
      </w:r>
      <w:r>
        <w:t>)의 경우에는 법인 업무용으로 사용된 것으로 「법인세법」상 인정되는 것에 한정하여 적습니다.</w:t>
      </w:r>
    </w:p>
    <w:sectPr w:rsidR="009317EE" w:rsidRPr="000C1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38"/>
    <w:rsid w:val="000C157A"/>
    <w:rsid w:val="00387C9F"/>
    <w:rsid w:val="00481738"/>
    <w:rsid w:val="009317EE"/>
    <w:rsid w:val="00A84D35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2755"/>
  <w15:chartTrackingRefBased/>
  <w15:docId w15:val="{4495AFD2-FD7F-49A9-93E8-78529614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2023-09-22T06:07:00Z</dcterms:created>
  <dcterms:modified xsi:type="dcterms:W3CDTF">2023-10-05T04:28:00Z</dcterms:modified>
</cp:coreProperties>
</file>