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69918" w14:textId="19262F1A" w:rsidR="009317EE" w:rsidRPr="000E5318" w:rsidRDefault="000E5318" w:rsidP="000E5318">
      <w:pPr>
        <w:pStyle w:val="TableParagraph"/>
        <w:tabs>
          <w:tab w:val="left" w:pos="196"/>
        </w:tabs>
        <w:spacing w:before="110" w:line="261" w:lineRule="auto"/>
        <w:ind w:left="209" w:right="211"/>
        <w:rPr>
          <w:rFonts w:ascii="Arial" w:hAnsi="Arial" w:cs="Arial"/>
          <w:sz w:val="20"/>
          <w:szCs w:val="20"/>
        </w:rPr>
      </w:pPr>
      <w:r w:rsidRPr="000E5318">
        <w:rPr>
          <w:rFonts w:ascii="Arial" w:hAnsi="Arial" w:cs="Arial"/>
          <w:spacing w:val="-10"/>
          <w:w w:val="95"/>
          <w:sz w:val="20"/>
          <w:szCs w:val="20"/>
        </w:rPr>
        <w:t>Review</w:t>
      </w:r>
      <w:r w:rsidRPr="000E5318">
        <w:rPr>
          <w:rFonts w:ascii="Arial" w:hAnsi="Arial" w:cs="Arial"/>
          <w:w w:val="90"/>
          <w:sz w:val="20"/>
          <w:szCs w:val="20"/>
        </w:rPr>
        <w:t xml:space="preserve"> </w:t>
      </w:r>
      <w:r w:rsidRPr="000E5318">
        <w:rPr>
          <w:rFonts w:ascii="Arial" w:hAnsi="Arial" w:cs="Arial"/>
          <w:w w:val="90"/>
          <w:sz w:val="20"/>
          <w:szCs w:val="20"/>
        </w:rPr>
        <w:t>Suitable or not</w:t>
      </w:r>
      <w:r w:rsidRPr="000E5318">
        <w:rPr>
          <w:rFonts w:ascii="Arial" w:eastAsia="함초롬바탕" w:hAnsi="Arial" w:cs="Arial"/>
          <w:spacing w:val="-4"/>
          <w:sz w:val="20"/>
          <w:szCs w:val="20"/>
        </w:rPr>
        <w:t xml:space="preserve"> </w:t>
      </w:r>
      <w:r w:rsidRPr="000E5318">
        <w:rPr>
          <w:rFonts w:ascii="Arial" w:eastAsia="함초롬바탕" w:hAnsi="Arial" w:cs="Arial"/>
          <w:spacing w:val="-4"/>
          <w:sz w:val="20"/>
          <w:szCs w:val="20"/>
        </w:rPr>
        <w:t>subject to taxation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• Non-business land (land that falls under each subparagraph of §55-2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②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of the Corporate Tax Act during the period stipulated in §92-3 of the Enforcement Decree of the Corporate Tax Act during the period during which the corporation owns the land)• Houses and villas (Article §55-2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①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, Act §92-2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②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)• Union member occupancy rights and sale rights (applicable to transfers after January 1, 2021)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>no</w:t>
      </w:r>
      <w:r w:rsidRPr="000E5318">
        <w:rPr>
          <w:rFonts w:ascii="Arial" w:eastAsia="함초롬바탕" w:hAnsi="Arial" w:cs="Arial"/>
          <w:spacing w:val="-5"/>
          <w:sz w:val="20"/>
          <w:szCs w:val="20"/>
        </w:rPr>
        <w:t xml:space="preserve"> </w:t>
      </w:r>
      <w:r w:rsidRPr="000E5318">
        <w:rPr>
          <w:rFonts w:ascii="Arial" w:eastAsia="함초롬바탕" w:hAnsi="Arial" w:cs="Arial"/>
          <w:spacing w:val="-5"/>
          <w:sz w:val="20"/>
          <w:szCs w:val="20"/>
        </w:rPr>
        <w:t>tax rate</w:t>
      </w:r>
      <w:r w:rsidRPr="000E5318">
        <w:rPr>
          <w:rFonts w:ascii="Arial" w:hAnsi="Arial" w:cs="Arial"/>
          <w:spacing w:val="-4"/>
          <w:w w:val="90"/>
          <w:sz w:val="20"/>
          <w:szCs w:val="20"/>
        </w:rPr>
        <w:t>• Non-commercial land (10%)• Houses and villas (20% of transfer after January 1, 2021)• Union member occupancy rights and sale rights (20%)• Unregistered assets (40%)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eastAsia="함초롬바탕" w:hAnsi="Arial" w:cs="Arial"/>
          <w:spacing w:val="-4"/>
          <w:sz w:val="20"/>
          <w:szCs w:val="20"/>
        </w:rPr>
        <w:t xml:space="preserve"> </w:t>
      </w:r>
      <w:r w:rsidRPr="000E5318">
        <w:rPr>
          <w:rFonts w:ascii="Arial" w:eastAsia="함초롬바탕" w:hAnsi="Arial" w:cs="Arial"/>
          <w:spacing w:val="-4"/>
          <w:sz w:val="20"/>
          <w:szCs w:val="20"/>
        </w:rPr>
        <w:t>Excluded from application</w:t>
      </w:r>
      <w:r w:rsidRPr="000E5318">
        <w:rPr>
          <w:rFonts w:ascii="Arial" w:hAnsi="Arial" w:cs="Arial"/>
          <w:spacing w:val="-4"/>
          <w:w w:val="90"/>
          <w:sz w:val="20"/>
          <w:szCs w:val="20"/>
        </w:rPr>
        <w:t xml:space="preserve">• 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2009.3.16.~2012.12.31. The special taxation provisions for capital gains on land, etc. do not apply to capital gains from assets acquired during the period 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(Article 4 of the Supplementary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Provisions of Act No. 9673).</w:t>
      </w:r>
      <w:r w:rsidRPr="000E5318">
        <w:rPr>
          <w:rFonts w:ascii="Arial" w:hAnsi="Arial" w:cs="Arial"/>
          <w:spacing w:val="-4"/>
          <w:w w:val="90"/>
          <w:sz w:val="20"/>
          <w:szCs w:val="20"/>
        </w:rPr>
        <w:t>•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If there are unavoidable reasons according to the law after acquiring the land, it may not be considered as non-business land (Article §55-2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③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, Act §92-11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③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, Law §46-2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③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>)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eastAsia="함초롬바탕" w:hAnsi="Arial" w:cs="Arial"/>
          <w:spacing w:val="-5"/>
          <w:sz w:val="20"/>
          <w:szCs w:val="20"/>
        </w:rPr>
        <w:t xml:space="preserve"> </w:t>
      </w:r>
      <w:r w:rsidRPr="000E5318">
        <w:rPr>
          <w:rFonts w:ascii="Arial" w:eastAsia="함초롬바탕" w:hAnsi="Arial" w:cs="Arial"/>
          <w:spacing w:val="-5"/>
          <w:sz w:val="20"/>
          <w:szCs w:val="20"/>
        </w:rPr>
        <w:t>tax exemption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• </w:t>
      </w:r>
      <w:r w:rsidRPr="000E5318">
        <w:rPr>
          <w:rFonts w:ascii="Arial" w:hAnsi="Arial" w:cs="Arial"/>
          <w:spacing w:val="-4"/>
          <w:w w:val="90"/>
          <w:sz w:val="20"/>
          <w:szCs w:val="20"/>
          <w:lang w:eastAsia="ko-KR"/>
        </w:rPr>
        <w:t>Cases falling under §55-2</w:t>
      </w:r>
      <w:r w:rsidRPr="000E5318"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>④</w:t>
      </w:r>
      <w:r w:rsidRPr="000E5318">
        <w:rPr>
          <w:rFonts w:ascii="Arial" w:hAnsi="Arial" w:cs="Arial"/>
          <w:spacing w:val="-4"/>
          <w:w w:val="90"/>
          <w:sz w:val="20"/>
          <w:szCs w:val="20"/>
          <w:lang w:eastAsia="ko-KR"/>
        </w:rPr>
        <w:t xml:space="preserve"> of the Corporate Tax Act and §92-2</w:t>
      </w:r>
      <w:r w:rsidRPr="000E5318"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>④</w:t>
      </w:r>
      <w:r w:rsidRPr="000E5318">
        <w:rPr>
          <w:rFonts w:ascii="Arial" w:hAnsi="Arial" w:cs="Arial"/>
          <w:spacing w:val="-4"/>
          <w:w w:val="90"/>
          <w:sz w:val="20"/>
          <w:szCs w:val="20"/>
          <w:lang w:eastAsia="ko-KR"/>
        </w:rPr>
        <w:t xml:space="preserve"> of the Enforcement Decree of the Corporate Tax Act* However, taxation is imposed upon transfer of unregistered land, etc.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eastAsia="함초롬바탕" w:hAnsi="Arial" w:cs="Arial"/>
          <w:spacing w:val="-6"/>
          <w:w w:val="90"/>
          <w:sz w:val="20"/>
          <w:szCs w:val="20"/>
          <w:lang w:eastAsia="ko-KR"/>
        </w:rPr>
        <w:t xml:space="preserve"> </w:t>
      </w:r>
      <w:r w:rsidRPr="000E5318">
        <w:rPr>
          <w:rFonts w:ascii="Arial" w:eastAsia="함초롬바탕" w:hAnsi="Arial" w:cs="Arial"/>
          <w:spacing w:val="-6"/>
          <w:w w:val="90"/>
          <w:sz w:val="20"/>
          <w:szCs w:val="20"/>
          <w:lang w:eastAsia="ko-KR"/>
        </w:rPr>
        <w:t>Review of non-commercial land ownership period</w:t>
      </w:r>
      <w:r w:rsidRPr="000E5318">
        <w:rPr>
          <w:rFonts w:ascii="Arial" w:hAnsi="Arial" w:cs="Arial"/>
          <w:spacing w:val="-8"/>
          <w:sz w:val="20"/>
          <w:szCs w:val="20"/>
        </w:rPr>
        <w:t xml:space="preserve"> 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>
        <w:rPr>
          <w:rFonts w:ascii="Arial" w:hAnsi="Arial" w:cs="Arial"/>
          <w:w w:val="90"/>
          <w:sz w:val="17"/>
          <w:szCs w:val="17"/>
          <w:lang w:eastAsia="ko-KR"/>
        </w:rPr>
        <w:t xml:space="preserve"> 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 xml:space="preserve">If the period of use of the land for purposes other than its original purpose falls under all of </w:t>
      </w:r>
      <w:r w:rsidRPr="001E3AAC">
        <w:rPr>
          <w:rFonts w:ascii="맑은 고딕" w:eastAsia="맑은 고딕" w:hAnsi="맑은 고딕" w:cs="맑은 고딕" w:hint="eastAsia"/>
          <w:spacing w:val="-4"/>
          <w:w w:val="85"/>
          <w:sz w:val="17"/>
          <w:szCs w:val="17"/>
          <w:lang w:eastAsia="ko-KR"/>
        </w:rPr>
        <w:t>①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>~</w:t>
      </w:r>
      <w:r w:rsidRPr="001E3AAC">
        <w:rPr>
          <w:rFonts w:ascii="맑은 고딕" w:eastAsia="맑은 고딕" w:hAnsi="맑은 고딕" w:cs="맑은 고딕" w:hint="eastAsia"/>
          <w:spacing w:val="-4"/>
          <w:w w:val="85"/>
          <w:sz w:val="17"/>
          <w:szCs w:val="17"/>
          <w:lang w:eastAsia="ko-KR"/>
        </w:rPr>
        <w:t>②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 xml:space="preserve"> (or </w:t>
      </w:r>
      <w:r w:rsidRPr="001E3AAC">
        <w:rPr>
          <w:rFonts w:ascii="맑은 고딕" w:eastAsia="맑은 고딕" w:hAnsi="맑은 고딕" w:cs="맑은 고딕" w:hint="eastAsia"/>
          <w:spacing w:val="-4"/>
          <w:w w:val="85"/>
          <w:sz w:val="17"/>
          <w:szCs w:val="17"/>
          <w:lang w:eastAsia="ko-KR"/>
        </w:rPr>
        <w:t>③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>) below by ownership period, it is considered non-business land.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 xml:space="preserve"> (However, in cases falling under each item 11</w:t>
      </w:r>
      <w:r w:rsidRPr="001E3AAC">
        <w:rPr>
          <w:rFonts w:ascii="맑은 고딕" w:eastAsia="맑은 고딕" w:hAnsi="맑은 고딕" w:cs="맑은 고딕" w:hint="eastAsia"/>
          <w:spacing w:val="-4"/>
          <w:w w:val="85"/>
          <w:sz w:val="17"/>
          <w:szCs w:val="17"/>
          <w:lang w:eastAsia="ko-KR"/>
        </w:rPr>
        <w:t>①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 xml:space="preserve"> of §92 of the Act, the corporate tax law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>§55-2</w:t>
      </w:r>
      <w:r w:rsidRPr="001E3AAC">
        <w:rPr>
          <w:rFonts w:ascii="맑은 고딕" w:eastAsia="맑은 고딕" w:hAnsi="맑은 고딕" w:cs="맑은 고딕" w:hint="eastAsia"/>
          <w:spacing w:val="-4"/>
          <w:w w:val="85"/>
          <w:sz w:val="17"/>
          <w:szCs w:val="17"/>
          <w:lang w:eastAsia="ko-KR"/>
        </w:rPr>
        <w:t>②</w:t>
      </w:r>
      <w:r w:rsidRPr="001E3AAC">
        <w:rPr>
          <w:rFonts w:ascii="Arial" w:hAnsi="Arial" w:cs="Arial"/>
          <w:spacing w:val="-4"/>
          <w:w w:val="85"/>
          <w:sz w:val="17"/>
          <w:szCs w:val="17"/>
          <w:lang w:eastAsia="ko-KR"/>
        </w:rPr>
        <w:t xml:space="preserve"> Judging by the fact that the land does not fall under each subparagraph, it is determined whether it is land for non-business purposes)</w:t>
      </w:r>
      <w:r w:rsidR="00A83C22" w:rsidRPr="00A83C22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="00A83C22"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="00A83C22"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="00A83C22" w:rsidRPr="000E5318">
        <w:rPr>
          <w:rFonts w:ascii="Arial" w:hAnsi="Arial" w:cs="Arial"/>
          <w:spacing w:val="-8"/>
          <w:sz w:val="20"/>
          <w:szCs w:val="20"/>
        </w:rPr>
        <w:t xml:space="preserve"> </w:t>
      </w:r>
      <w:bookmarkStart w:id="0" w:name="_GoBack"/>
      <w:bookmarkEnd w:id="0"/>
      <w:r w:rsidRPr="000E5318">
        <w:rPr>
          <w:rFonts w:ascii="Arial" w:hAnsi="Arial" w:cs="Arial"/>
          <w:spacing w:val="-8"/>
          <w:sz w:val="20"/>
          <w:szCs w:val="20"/>
        </w:rPr>
        <w:t>less than 3 years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①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Period exceeding the period of ownership minus 2 years* However, this does not apply if the ownership period is less than 2 years.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②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Period exceeding the period equivalent to 40*(20)% of the ownership period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hAnsi="Arial" w:cs="Arial"/>
          <w:sz w:val="20"/>
          <w:szCs w:val="20"/>
        </w:rPr>
        <w:t xml:space="preserve"> 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>more than 3 years~ Less than 5 years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①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A period exceeding the period of ownership minus 3 years.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②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A period exceeding one year out of the three years immediately preceding the date of transfer.</w:t>
      </w:r>
      <w:r w:rsidRPr="000E5318">
        <w:rPr>
          <w:rFonts w:ascii="맑은 고딕" w:eastAsia="맑은 고딕" w:hAnsi="맑은 고딕" w:cs="맑은 고딕" w:hint="eastAsia"/>
          <w:w w:val="90"/>
          <w:sz w:val="20"/>
          <w:szCs w:val="20"/>
          <w:lang w:eastAsia="ko-KR"/>
        </w:rPr>
        <w:t>③</w:t>
      </w:r>
      <w:r w:rsidRPr="000E5318">
        <w:rPr>
          <w:rFonts w:ascii="Arial" w:hAnsi="Arial" w:cs="Arial"/>
          <w:w w:val="90"/>
          <w:sz w:val="20"/>
          <w:szCs w:val="20"/>
          <w:lang w:eastAsia="ko-KR"/>
        </w:rPr>
        <w:t xml:space="preserve"> Period exceeding the period equivalent to 40 (20)% of the ownership period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16082">
        <w:rPr>
          <w:rFonts w:ascii="Arial" w:hAnsi="Arial" w:cs="Arial"/>
          <w:spacing w:val="-10"/>
          <w:w w:val="95"/>
          <w:sz w:val="18"/>
          <w:szCs w:val="18"/>
        </w:rPr>
        <w:t>5 years or more</w:t>
      </w:r>
      <w:r w:rsidRPr="00016082">
        <w:rPr>
          <w:rFonts w:ascii="맑은 고딕" w:eastAsia="맑은 고딕" w:hAnsi="맑은 고딕" w:cs="맑은 고딕" w:hint="eastAsia"/>
          <w:spacing w:val="-4"/>
          <w:w w:val="95"/>
          <w:sz w:val="17"/>
          <w:szCs w:val="17"/>
          <w:lang w:eastAsia="ko-KR"/>
        </w:rPr>
        <w:t>①</w:t>
      </w:r>
      <w:r w:rsidRPr="00016082">
        <w:rPr>
          <w:rFonts w:ascii="Arial" w:hAnsi="Arial" w:cs="Arial"/>
          <w:spacing w:val="-4"/>
          <w:w w:val="95"/>
          <w:sz w:val="17"/>
          <w:szCs w:val="17"/>
          <w:lang w:eastAsia="ko-KR"/>
        </w:rPr>
        <w:t xml:space="preserve"> A period exceeding 2 years out of the 5 years immediately preceding the date of transfer.</w:t>
      </w:r>
      <w:r w:rsidRPr="00016082">
        <w:rPr>
          <w:rFonts w:ascii="맑은 고딕" w:eastAsia="맑은 고딕" w:hAnsi="맑은 고딕" w:cs="맑은 고딕" w:hint="eastAsia"/>
          <w:spacing w:val="-4"/>
          <w:w w:val="95"/>
          <w:sz w:val="17"/>
          <w:szCs w:val="17"/>
          <w:lang w:eastAsia="ko-KR"/>
        </w:rPr>
        <w:t>②</w:t>
      </w:r>
      <w:r w:rsidRPr="00016082">
        <w:rPr>
          <w:rFonts w:ascii="Arial" w:hAnsi="Arial" w:cs="Arial"/>
          <w:spacing w:val="-4"/>
          <w:w w:val="95"/>
          <w:sz w:val="17"/>
          <w:szCs w:val="17"/>
          <w:lang w:eastAsia="ko-KR"/>
        </w:rPr>
        <w:t xml:space="preserve"> A period exceeding one year out of the three years immediately preceding the date of transfer.</w:t>
      </w:r>
      <w:r w:rsidRPr="00016082">
        <w:rPr>
          <w:rFonts w:ascii="맑은 고딕" w:eastAsia="맑은 고딕" w:hAnsi="맑은 고딕" w:cs="맑은 고딕" w:hint="eastAsia"/>
          <w:spacing w:val="-4"/>
          <w:w w:val="95"/>
          <w:sz w:val="17"/>
          <w:szCs w:val="17"/>
          <w:lang w:eastAsia="ko-KR"/>
        </w:rPr>
        <w:t>③</w:t>
      </w:r>
      <w:r w:rsidRPr="00016082">
        <w:rPr>
          <w:rFonts w:ascii="Arial" w:hAnsi="Arial" w:cs="Arial"/>
          <w:spacing w:val="-4"/>
          <w:w w:val="95"/>
          <w:sz w:val="17"/>
          <w:szCs w:val="17"/>
          <w:lang w:eastAsia="ko-KR"/>
        </w:rPr>
        <w:t xml:space="preserve"> Period exceeding the period equivalent to 40 (20)% of the ownership period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eastAsia="함초롬바탕" w:hAnsi="Arial" w:cs="Arial"/>
          <w:b/>
          <w:spacing w:val="-6"/>
          <w:w w:val="90"/>
          <w:sz w:val="18"/>
          <w:szCs w:val="18"/>
        </w:rPr>
        <w:t xml:space="preserve"> </w:t>
      </w:r>
      <w:r w:rsidRPr="00016082">
        <w:rPr>
          <w:rFonts w:ascii="Arial" w:eastAsia="함초롬바탕" w:hAnsi="Arial" w:cs="Arial"/>
          <w:b/>
          <w:spacing w:val="-6"/>
          <w:w w:val="90"/>
          <w:sz w:val="18"/>
          <w:szCs w:val="18"/>
        </w:rPr>
        <w:t>Capital gains calculation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>
        <w:rPr>
          <w:rFonts w:ascii="Arial" w:hAnsi="Arial" w:cs="Arial"/>
          <w:w w:val="90"/>
          <w:sz w:val="17"/>
          <w:szCs w:val="17"/>
          <w:lang w:eastAsia="ko-KR"/>
        </w:rPr>
        <w:t xml:space="preserve"> 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Capital gains from land, etc. (Article §55-2</w:t>
      </w:r>
      <w:r w:rsidRPr="001E3AAC">
        <w:rPr>
          <w:rFonts w:ascii="맑은 고딕" w:hAnsi="맑은 고딕" w:cs="맑은 고딕"/>
          <w:w w:val="90"/>
          <w:sz w:val="17"/>
          <w:szCs w:val="17"/>
          <w:lang w:eastAsia="ko-KR"/>
        </w:rPr>
        <w:t>⑥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) = Transfer amount – Book value at the time of transfer* However, for land acquired by a non-profit corporation before December 31, 1990, please refer to §55-2</w:t>
      </w:r>
      <w:r w:rsidRPr="001E3AAC">
        <w:rPr>
          <w:rFonts w:ascii="맑은 고딕" w:hAnsi="맑은 고딕" w:cs="맑은 고딕"/>
          <w:w w:val="90"/>
          <w:sz w:val="17"/>
          <w:szCs w:val="17"/>
          <w:lang w:eastAsia="ko-KR"/>
        </w:rPr>
        <w:t>⑥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 xml:space="preserve"> of the Act.•</w:t>
      </w:r>
      <w:r>
        <w:rPr>
          <w:rFonts w:ascii="Arial" w:hAnsi="Arial" w:cs="Arial"/>
          <w:w w:val="90"/>
          <w:sz w:val="17"/>
          <w:szCs w:val="17"/>
          <w:lang w:eastAsia="ko-KR"/>
        </w:rPr>
        <w:t xml:space="preserve"> 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When transferring two or more pieces of land, etc., the calculated amount according to Article 55-2</w:t>
      </w:r>
      <w:r w:rsidRPr="001E3AAC">
        <w:rPr>
          <w:rFonts w:ascii="맑은 고딕" w:hAnsi="맑은 고딕" w:cs="맑은 고딕"/>
          <w:w w:val="90"/>
          <w:sz w:val="17"/>
          <w:szCs w:val="17"/>
          <w:lang w:eastAsia="ko-KR"/>
        </w:rPr>
        <w:t>⑥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 xml:space="preserve"> of the Act is added together.</w:t>
      </w:r>
      <w:r w:rsidRPr="000E5318">
        <w:rPr>
          <w:rFonts w:ascii="Arial" w:hAnsi="Arial" w:cs="Arial"/>
          <w:sz w:val="20"/>
          <w:szCs w:val="20"/>
          <w:lang w:val="en" w:eastAsia="ko-KR"/>
        </w:rPr>
        <w:t xml:space="preserve"> 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  <w:r w:rsidRPr="000E5318">
        <w:rPr>
          <w:rFonts w:ascii="Arial" w:eastAsia="함초롬바탕" w:hAnsi="Arial" w:cs="Arial"/>
          <w:b/>
          <w:spacing w:val="-6"/>
          <w:w w:val="90"/>
          <w:sz w:val="18"/>
          <w:szCs w:val="18"/>
        </w:rPr>
        <w:t xml:space="preserve"> </w:t>
      </w:r>
      <w:r w:rsidRPr="00016082">
        <w:rPr>
          <w:rFonts w:ascii="Arial" w:eastAsia="함초롬바탕" w:hAnsi="Arial" w:cs="Arial"/>
          <w:b/>
          <w:spacing w:val="-6"/>
          <w:w w:val="90"/>
          <w:sz w:val="18"/>
          <w:szCs w:val="18"/>
        </w:rPr>
        <w:t>Capital gains attribution time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>
        <w:rPr>
          <w:rFonts w:ascii="Arial" w:hAnsi="Arial" w:cs="Arial"/>
          <w:w w:val="90"/>
          <w:sz w:val="17"/>
          <w:szCs w:val="17"/>
          <w:lang w:eastAsia="ko-KR"/>
        </w:rPr>
        <w:t xml:space="preserve"> </w:t>
      </w:r>
      <w:r w:rsidRPr="00016082">
        <w:rPr>
          <w:rFonts w:ascii="Arial" w:hAnsi="Arial" w:cs="Arial"/>
          <w:spacing w:val="-2"/>
          <w:w w:val="90"/>
          <w:sz w:val="17"/>
          <w:szCs w:val="17"/>
          <w:lang w:eastAsia="ko-KR"/>
        </w:rPr>
        <w:t>The general transfer and acquisition periods apply to the provisions of §68</w:t>
      </w:r>
      <w:r w:rsidRPr="00016082">
        <w:rPr>
          <w:rFonts w:ascii="맑은 고딕" w:hAnsi="맑은 고딕" w:cs="맑은 고딕"/>
          <w:spacing w:val="-2"/>
          <w:w w:val="90"/>
          <w:sz w:val="17"/>
          <w:szCs w:val="17"/>
          <w:lang w:eastAsia="ko-KR"/>
        </w:rPr>
        <w:t>①</w:t>
      </w:r>
      <w:r w:rsidRPr="00016082">
        <w:rPr>
          <w:rFonts w:ascii="Arial" w:hAnsi="Arial" w:cs="Arial"/>
          <w:spacing w:val="-2"/>
          <w:w w:val="90"/>
          <w:sz w:val="17"/>
          <w:szCs w:val="17"/>
          <w:lang w:eastAsia="ko-KR"/>
        </w:rPr>
        <w:t xml:space="preserve"> of the Act.</w:t>
      </w:r>
      <w:r w:rsidRPr="001E3AAC">
        <w:rPr>
          <w:rFonts w:ascii="Arial" w:hAnsi="Arial" w:cs="Arial"/>
          <w:w w:val="90"/>
          <w:sz w:val="17"/>
          <w:szCs w:val="17"/>
          <w:lang w:eastAsia="ko-KR"/>
        </w:rPr>
        <w:t>•</w:t>
      </w:r>
      <w:r>
        <w:rPr>
          <w:rFonts w:ascii="Arial" w:hAnsi="Arial" w:cs="Arial"/>
          <w:w w:val="90"/>
          <w:sz w:val="17"/>
          <w:szCs w:val="17"/>
          <w:lang w:eastAsia="ko-KR"/>
        </w:rPr>
        <w:t xml:space="preserve"> </w:t>
      </w:r>
      <w:r w:rsidRPr="00016082">
        <w:rPr>
          <w:rFonts w:ascii="Arial" w:hAnsi="Arial" w:cs="Arial"/>
          <w:spacing w:val="-2"/>
          <w:w w:val="90"/>
          <w:sz w:val="17"/>
          <w:szCs w:val="17"/>
          <w:lang w:eastAsia="ko-KR"/>
        </w:rPr>
        <w:t>In case of long-term installment conditions (Article §68</w:t>
      </w:r>
      <w:r w:rsidRPr="00016082">
        <w:rPr>
          <w:rFonts w:ascii="맑은 고딕" w:hAnsi="맑은 고딕" w:cs="맑은 고딕"/>
          <w:spacing w:val="-2"/>
          <w:w w:val="90"/>
          <w:sz w:val="17"/>
          <w:szCs w:val="17"/>
          <w:lang w:eastAsia="ko-KR"/>
        </w:rPr>
        <w:t>④</w:t>
      </w:r>
      <w:r w:rsidRPr="00016082">
        <w:rPr>
          <w:rFonts w:ascii="Arial" w:hAnsi="Arial" w:cs="Arial"/>
          <w:spacing w:val="-2"/>
          <w:w w:val="90"/>
          <w:sz w:val="17"/>
          <w:szCs w:val="17"/>
          <w:lang w:eastAsia="ko-KR"/>
        </w:rPr>
        <w:t>), it is governed by the provisions of Act §68</w:t>
      </w:r>
      <w:r w:rsidRPr="00016082">
        <w:rPr>
          <w:rFonts w:ascii="맑은 고딕" w:hAnsi="맑은 고딕" w:cs="맑은 고딕"/>
          <w:spacing w:val="-2"/>
          <w:w w:val="90"/>
          <w:sz w:val="17"/>
          <w:szCs w:val="17"/>
          <w:lang w:eastAsia="ko-KR"/>
        </w:rPr>
        <w:t>①</w:t>
      </w:r>
      <w:r w:rsidRPr="00016082">
        <w:rPr>
          <w:rFonts w:ascii="Arial" w:hAnsi="Arial" w:cs="Arial"/>
          <w:spacing w:val="-2"/>
          <w:w w:val="90"/>
          <w:sz w:val="17"/>
          <w:szCs w:val="17"/>
          <w:lang w:eastAsia="ko-KR"/>
        </w:rPr>
        <w:t>3.</w:t>
      </w:r>
      <w:r w:rsidRPr="000E5318">
        <w:rPr>
          <w:rFonts w:ascii="Arial" w:hAnsi="Arial" w:cs="Arial"/>
          <w:sz w:val="20"/>
          <w:szCs w:val="20"/>
          <w:lang w:val="en" w:eastAsia="ko-KR"/>
        </w:rPr>
        <w:t>yes</w:t>
      </w:r>
      <w:r w:rsidRPr="000E5318">
        <w:rPr>
          <w:rFonts w:ascii="Arial" w:hAnsi="Arial" w:cs="Arial"/>
          <w:spacing w:val="-5"/>
          <w:sz w:val="20"/>
          <w:szCs w:val="20"/>
          <w:lang w:val="en" w:eastAsia="ko-KR"/>
        </w:rPr>
        <w:t xml:space="preserve"> no</w:t>
      </w:r>
    </w:p>
    <w:sectPr w:rsidR="009317EE" w:rsidRPr="000E5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929EC" w14:textId="77777777" w:rsidR="004C291F" w:rsidRDefault="004C291F" w:rsidP="000E5318">
      <w:pPr>
        <w:spacing w:after="0" w:line="240" w:lineRule="auto"/>
      </w:pPr>
      <w:r>
        <w:separator/>
      </w:r>
    </w:p>
  </w:endnote>
  <w:endnote w:type="continuationSeparator" w:id="0">
    <w:p w14:paraId="703C01F8" w14:textId="77777777" w:rsidR="004C291F" w:rsidRDefault="004C291F" w:rsidP="000E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FD98D" w14:textId="77777777" w:rsidR="004C291F" w:rsidRDefault="004C291F" w:rsidP="000E5318">
      <w:pPr>
        <w:spacing w:after="0" w:line="240" w:lineRule="auto"/>
      </w:pPr>
      <w:r>
        <w:separator/>
      </w:r>
    </w:p>
  </w:footnote>
  <w:footnote w:type="continuationSeparator" w:id="0">
    <w:p w14:paraId="64293458" w14:textId="77777777" w:rsidR="004C291F" w:rsidRDefault="004C291F" w:rsidP="000E5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DC"/>
    <w:rsid w:val="000E5318"/>
    <w:rsid w:val="001D1714"/>
    <w:rsid w:val="004C291F"/>
    <w:rsid w:val="009317EE"/>
    <w:rsid w:val="00A83C22"/>
    <w:rsid w:val="00B0580C"/>
    <w:rsid w:val="00B57DAA"/>
    <w:rsid w:val="00B907D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3A64C"/>
  <w15:chartTrackingRefBased/>
  <w15:docId w15:val="{0D200BE9-2154-45A6-9415-4CEE79F8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3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5318"/>
  </w:style>
  <w:style w:type="paragraph" w:styleId="a4">
    <w:name w:val="footer"/>
    <w:basedOn w:val="a"/>
    <w:link w:val="Char0"/>
    <w:uiPriority w:val="99"/>
    <w:unhideWhenUsed/>
    <w:rsid w:val="000E53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5318"/>
  </w:style>
  <w:style w:type="paragraph" w:customStyle="1" w:styleId="TableParagraph">
    <w:name w:val="Table Paragraph"/>
    <w:basedOn w:val="a"/>
    <w:uiPriority w:val="1"/>
    <w:qFormat/>
    <w:rsid w:val="000E5318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admin</cp:lastModifiedBy>
  <cp:revision>4</cp:revision>
  <dcterms:created xsi:type="dcterms:W3CDTF">2023-09-22T05:55:00Z</dcterms:created>
  <dcterms:modified xsi:type="dcterms:W3CDTF">2023-10-12T13:49:00Z</dcterms:modified>
</cp:coreProperties>
</file>