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AD1" w:rsidRDefault="00BD5AD1" w:rsidP="00BD5AD1">
      <w:r>
        <w:t>Review</w:t>
      </w:r>
      <w:r>
        <w:tab/>
        <w:t>Fit or notBad debt possiblebond</w:t>
      </w:r>
      <w:r>
        <w:tab/>
        <w:t>As bad debtClaims included in deductible expenses are subject to any subparagraph of Article 19-2, Paragraph 2 of the Corporate Tax Act.Does not apply</w:t>
      </w:r>
      <w:r>
        <w:rPr>
          <w:rFonts w:hint="eastAsia"/>
        </w:rPr>
        <w:t>①</w:t>
      </w:r>
      <w:r>
        <w:t xml:space="preserve"> arising from debt guaranteesIndemnity claims*However, indemnification claims resulting from the following debt guarantees are recognized as deductibles:i)In any of the subparagraphs of Article 10-2, Paragraph 1 of the Monopoly Regulation and Fair Trade Act.Applicable debt guarantee</w:t>
      </w:r>
      <w:r>
        <w:rPr>
          <w:rFonts w:hint="eastAsia"/>
        </w:rPr>
        <w:t>ⅱ</w:t>
      </w:r>
      <w:r>
        <w:t>)Financial companies, etc. (Article §61②)Debt guarantee made</w:t>
      </w:r>
      <w:r>
        <w:rPr>
          <w:rFonts w:hint="eastAsia"/>
        </w:rPr>
        <w:t>ⅲ</w:t>
      </w:r>
      <w:r>
        <w:t>)A corporation that engages in credit guarantee business in accordance with the lawDebt guarantee madeiv)Debt guarantee provided by the entrusted company to the entrusted company that is a member of the entrusted company council in accordance with the Act on Promotion of Coexistence and Cooperation between Large and Small Businessesh</w:t>
      </w:r>
      <w:r>
        <w:rPr>
          <w:rFonts w:hint="eastAsia"/>
        </w:rPr>
        <w:t>ⅴ</w:t>
      </w:r>
      <w:r>
        <w:t>) Domestic corporations engaged in construction and telecommunications businesses are not classified as related parties in direct connection with construction projects. Guaranteeing debt for those who do not.but,Debt guarantees for project operators, etc. under Article 2, Paragraph 7 of the Private Investment in Infrastructure Act include debt guarantees for specially related persons.</w:t>
      </w:r>
      <w:r>
        <w:rPr>
          <w:rFonts w:hint="eastAsia"/>
        </w:rPr>
        <w:t>②</w:t>
      </w:r>
      <w:r>
        <w:t xml:space="preserve"> Irrelevant to work for specially</w:t>
      </w:r>
      <w:r>
        <w:t xml:space="preserve"> related personsadvance paymentyes</w:t>
      </w:r>
      <w:r>
        <w:t>No</w:t>
      </w:r>
      <w:r>
        <w:t>Reason for bad debt</w:t>
      </w:r>
      <w:r>
        <w:t>Recoverable for any of the reasons specified in Article 19-2, Paragraph 1 of the Enforcement Decree of the Corporate Tax Act.Whether it is a non-receivable bond</w:t>
      </w:r>
      <w:r>
        <w:rPr>
          <w:rFonts w:hint="eastAsia"/>
        </w:rPr>
        <w:t>①</w:t>
      </w:r>
      <w:r>
        <w:t xml:space="preserve"> In commercial law according to Statute of limitations finished accounts receivable andaccounts receivable</w:t>
      </w:r>
      <w:r>
        <w:rPr>
          <w:rFonts w:hint="eastAsia"/>
        </w:rPr>
        <w:t>②</w:t>
      </w:r>
      <w:r>
        <w:t xml:space="preserve"> In the Bills of Exchange Act according to Statute of limitations finishednote</w:t>
      </w:r>
      <w:r>
        <w:rPr>
          <w:rFonts w:hint="eastAsia"/>
        </w:rPr>
        <w:t>③</w:t>
      </w:r>
      <w:r>
        <w:t xml:space="preserve"> In the check law according to Statute of limitations finishedcheck</w:t>
      </w:r>
      <w:r>
        <w:rPr>
          <w:rFonts w:hint="eastAsia"/>
        </w:rPr>
        <w:t>④</w:t>
      </w:r>
      <w:r>
        <w:t xml:space="preserve"> in civil law according toLoans and advances for which the statute of limitations has expired</w:t>
      </w:r>
      <w:r>
        <w:rPr>
          <w:rFonts w:hint="eastAsia"/>
        </w:rPr>
        <w:t>⑤</w:t>
      </w:r>
      <w:r>
        <w:t>Claims confirmed as non-recoverable according to the decision to approve the rehabilitation plan or the court's decision to exempt</w:t>
      </w:r>
      <w:r>
        <w:rPr>
          <w:rFonts w:hint="eastAsia"/>
        </w:rPr>
        <w:t>⑤</w:t>
      </w:r>
      <w:r>
        <w:t>-2 Receive debt adjustment in accordance with the Act on Support for the Financial Life of Common People and in accordance with the Credit Recovery Support Agreement under Article 75 of the same ActBond confirmed with discharge</w:t>
      </w:r>
      <w:r>
        <w:rPr>
          <w:rFonts w:hint="eastAsia"/>
        </w:rPr>
        <w:t>⑥</w:t>
      </w:r>
      <w:r>
        <w:t xml:space="preserve"> Civil Execution Act In Article 102 according to debtor on property About auction price canceledseizure bond</w:t>
      </w:r>
      <w:r>
        <w:rPr>
          <w:rFonts w:hint="eastAsia"/>
        </w:rPr>
        <w:t>⑦</w:t>
      </w:r>
      <w:r>
        <w:t>Trade Insurance Act, a claim arising from the export of goods or the provision of services abroad. Claims confirmed as uncollectible by the Korea Trade Insurance Corporation pursuant to Article 37</w:t>
      </w:r>
    </w:p>
    <w:p w:rsidR="00BD5AD1" w:rsidRDefault="00BD5AD1" w:rsidP="00BD5AD1">
      <w:r>
        <w:rPr>
          <w:rFonts w:hint="eastAsia"/>
        </w:rPr>
        <w:t>⑧</w:t>
      </w:r>
      <w:r>
        <w:t xml:space="preserve"> </w:t>
      </w:r>
      <w:proofErr w:type="gramStart"/>
      <w:r>
        <w:t>bankruptcy</w:t>
      </w:r>
      <w:proofErr w:type="gramEnd"/>
      <w:r>
        <w:t xml:space="preserve"> of the debtor; compulsory execution, Execution of sentences, abolition of business, Dead, Bonds that cannot be collected due to disappearance or disappearance</w:t>
      </w:r>
    </w:p>
    <w:p w:rsidR="00BD5AD1" w:rsidRDefault="00BD5AD1" w:rsidP="00BD5AD1">
      <w:r>
        <w:rPr>
          <w:rFonts w:hint="eastAsia"/>
        </w:rPr>
        <w:t>⑨</w:t>
      </w:r>
      <w:r>
        <w:t xml:space="preserve"> Receivables and credit receivables on checks or drafts that are more than 6 months old from the date of default (credit receivables of small and medium-sized businesses that are older than the date of default</w:t>
      </w:r>
      <w:proofErr w:type="gramStart"/>
      <w:r>
        <w:t>)but,Excluding</w:t>
      </w:r>
      <w:proofErr w:type="gramEnd"/>
      <w:r>
        <w:t xml:space="preserve"> cases where a mortgage is established</w:t>
      </w:r>
    </w:p>
    <w:p w:rsidR="00FD3579" w:rsidRPr="00BD5AD1" w:rsidRDefault="00BD5AD1" w:rsidP="00BD5AD1">
      <w:r>
        <w:rPr>
          <w:rFonts w:hint="eastAsia"/>
        </w:rPr>
        <w:t>⑨</w:t>
      </w:r>
      <w:r>
        <w:t xml:space="preserve">-2 small and medium-sized business accounts receivable and </w:t>
      </w:r>
      <w:proofErr w:type="gramStart"/>
      <w:r>
        <w:t>As</w:t>
      </w:r>
      <w:proofErr w:type="gramEnd"/>
      <w:r>
        <w:t xml:space="preserve"> receivables Collection </w:t>
      </w:r>
      <w:r>
        <w:lastRenderedPageBreak/>
        <w:t>due date More than 2 years Past accounts receivable etc. However, credit receivables resulting from transactions with specially related parties are excluded.</w:t>
      </w:r>
      <w:r>
        <w:rPr>
          <w:rFonts w:hint="eastAsia"/>
        </w:rPr>
        <w:t>⑩</w:t>
      </w:r>
      <w:r>
        <w:t xml:space="preserve"> Reconciliation according to the Civil Procedure Act, Reconciliation recommendation decision, decision pursuant to §30 of the Civil Conciliation Act, mediationClaims confirmed as uncollectible due to etc.</w:t>
      </w:r>
      <w:r>
        <w:rPr>
          <w:rFonts w:hint="eastAsia"/>
        </w:rPr>
        <w:t>⑪</w:t>
      </w:r>
      <w:r>
        <w:t xml:space="preserve"> Collection due dateAmong bonds that are more than 6 months old, the bond value is 300,000 won or less (based on the total bond value for each debtor</w:t>
      </w:r>
      <w:proofErr w:type="gramStart"/>
      <w:r>
        <w:t>)</w:t>
      </w:r>
      <w:r>
        <w:rPr>
          <w:rFonts w:hint="eastAsia"/>
        </w:rPr>
        <w:t>⑫</w:t>
      </w:r>
      <w:proofErr w:type="gramEnd"/>
      <w:r>
        <w:t xml:space="preserve"> financial companyBonds that fall under any of the following:</w:t>
      </w:r>
      <w:r>
        <w:rPr>
          <w:rFonts w:hint="eastAsia"/>
        </w:rPr>
        <w:t>ⅰ</w:t>
      </w:r>
      <w:r>
        <w:t>. From the Commissioner of the Financial Supervisory Service in accordance with the standards for loan loss treatment determined by the Commissioner of the Financial Supervisory Service in consultation with the Minister of Strategy and Finance. Approved as bad debt</w:t>
      </w:r>
      <w:r>
        <w:t xml:space="preserve"> </w:t>
      </w:r>
      <w:r>
        <w:rPr>
          <w:rFonts w:hint="eastAsia"/>
        </w:rPr>
        <w:t>ⅱ</w:t>
      </w:r>
      <w:r>
        <w:t>. If the Financial Supervisory Service recognizes that it meets the criteria for ⅰ and requests bad debt processing, Recorded as bad debt as a receivable</w:t>
      </w:r>
      <w:r>
        <w:rPr>
          <w:rFonts w:hint="eastAsia"/>
        </w:rPr>
        <w:t>⑬</w:t>
      </w:r>
      <w:r>
        <w:t>A bond owed to the founder of a small and medium business start-up investment company, recognized by the Minister of SMEs and Startups as meeting the standards set in consultation with the Mi</w:t>
      </w:r>
      <w:r>
        <w:t>nister of Strategy and Finance.yes</w:t>
      </w:r>
      <w:r>
        <w:t>No</w:t>
      </w:r>
      <w:r>
        <w:t xml:space="preserve"> </w:t>
      </w:r>
      <w:r>
        <w:t>deductibleper</w:t>
      </w:r>
      <w:r>
        <w:t xml:space="preserve">iod </w:t>
      </w:r>
      <w:r>
        <w:t>As bad debtIs the fiscal year deducted appropriate?Whether- Reason for bad debt ①∼⑥ : corresponding Reason price occurred the day underfiscal year- Reason for bad debt ⑧∼⑬ : The reason is Because it happened</w:t>
      </w:r>
      <w:r>
        <w:t xml:space="preserve"> calculated as expenses the day </w:t>
      </w:r>
      <w:r>
        <w:t>Business ye</w:t>
      </w:r>
      <w:r>
        <w:t xml:space="preserve">ar it belongs to yes </w:t>
      </w:r>
      <w:r>
        <w:t>No</w:t>
      </w:r>
      <w:r>
        <w:t xml:space="preserve"> </w:t>
      </w:r>
      <w:r>
        <w:t>amortization receivablecollect</w:t>
      </w:r>
      <w:r>
        <w:tab/>
        <w:t>As bad debtIn the case where a claim included in deductible expenses is recovered, the date of recovery falls within the fiscal year.Whether i</w:t>
      </w:r>
      <w:r>
        <w:t xml:space="preserve">t was recorded as gross profit? Yes </w:t>
      </w:r>
      <w:r>
        <w:t>No</w:t>
      </w:r>
      <w:r>
        <w:t xml:space="preserve"> </w:t>
      </w:r>
      <w:r>
        <w:t>Amount of bond surrendered by agreement</w:t>
      </w:r>
      <w:r>
        <w:tab/>
        <w:t>In the agreement by bond entire or part of it giving up If the This donation Or whether the tax was appropriately adjusted considering it as entertainment expenses. However, in cases where a claim arising from a transaction with a person other than a specially related person has been unavoidably given up, the claim is objectively justified.When there is a reason, it is included in palm expenses.</w:t>
      </w:r>
      <w:r>
        <w:tab/>
      </w:r>
      <w:bookmarkStart w:id="0" w:name="_GoBack"/>
      <w:bookmarkEnd w:id="0"/>
    </w:p>
    <w:sectPr w:rsidR="00FD3579" w:rsidRPr="00BD5AD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83D" w:rsidRDefault="0098383D" w:rsidP="004D160E">
      <w:r>
        <w:separator/>
      </w:r>
    </w:p>
  </w:endnote>
  <w:endnote w:type="continuationSeparator" w:id="0">
    <w:p w:rsidR="0098383D" w:rsidRDefault="0098383D" w:rsidP="004D1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한컴돋움">
    <w:altName w:val="Arial Unicode MS"/>
    <w:charset w:val="81"/>
    <w:family w:val="roman"/>
    <w:pitch w:val="variable"/>
    <w:sig w:usb0="00000000" w:usb1="FBDFFFFF" w:usb2="00FFFFFF" w:usb3="00000000" w:csb0="8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83D" w:rsidRDefault="0098383D" w:rsidP="004D160E">
      <w:r>
        <w:separator/>
      </w:r>
    </w:p>
  </w:footnote>
  <w:footnote w:type="continuationSeparator" w:id="0">
    <w:p w:rsidR="0098383D" w:rsidRDefault="0098383D" w:rsidP="004D16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06674"/>
    <w:multiLevelType w:val="hybridMultilevel"/>
    <w:tmpl w:val="C05ABE74"/>
    <w:lvl w:ilvl="0" w:tplc="C8C2624E">
      <w:start w:val="2"/>
      <w:numFmt w:val="bullet"/>
      <w:lvlText w:val="-"/>
      <w:lvlJc w:val="left"/>
      <w:pPr>
        <w:ind w:left="760" w:hanging="360"/>
      </w:pPr>
      <w:rPr>
        <w:rFonts w:ascii="Arial" w:eastAsia="한컴돋움"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51B96C7D"/>
    <w:multiLevelType w:val="hybridMultilevel"/>
    <w:tmpl w:val="9E48DC98"/>
    <w:lvl w:ilvl="0" w:tplc="467EC84A">
      <w:numFmt w:val="bullet"/>
      <w:lvlText w:val="-"/>
      <w:lvlJc w:val="left"/>
      <w:pPr>
        <w:ind w:left="283" w:hanging="186"/>
      </w:pPr>
      <w:rPr>
        <w:rFonts w:ascii="한컴돋움" w:eastAsia="한컴돋움" w:hAnsi="한컴돋움" w:cs="한컴돋움" w:hint="default"/>
        <w:b w:val="0"/>
        <w:bCs w:val="0"/>
        <w:i w:val="0"/>
        <w:iCs w:val="0"/>
        <w:w w:val="96"/>
        <w:sz w:val="18"/>
        <w:szCs w:val="18"/>
        <w:lang w:val="vi" w:eastAsia="en-US" w:bidi="ar-SA"/>
      </w:rPr>
    </w:lvl>
    <w:lvl w:ilvl="1" w:tplc="69EAA930">
      <w:numFmt w:val="bullet"/>
      <w:lvlText w:val="•"/>
      <w:lvlJc w:val="left"/>
      <w:pPr>
        <w:ind w:left="817" w:hanging="186"/>
      </w:pPr>
      <w:rPr>
        <w:rFonts w:hint="default"/>
        <w:lang w:val="vi" w:eastAsia="en-US" w:bidi="ar-SA"/>
      </w:rPr>
    </w:lvl>
    <w:lvl w:ilvl="2" w:tplc="3752AB2A">
      <w:numFmt w:val="bullet"/>
      <w:lvlText w:val="•"/>
      <w:lvlJc w:val="left"/>
      <w:pPr>
        <w:ind w:left="1355" w:hanging="186"/>
      </w:pPr>
      <w:rPr>
        <w:rFonts w:hint="default"/>
        <w:lang w:val="vi" w:eastAsia="en-US" w:bidi="ar-SA"/>
      </w:rPr>
    </w:lvl>
    <w:lvl w:ilvl="3" w:tplc="1346A268">
      <w:numFmt w:val="bullet"/>
      <w:lvlText w:val="•"/>
      <w:lvlJc w:val="left"/>
      <w:pPr>
        <w:ind w:left="1893" w:hanging="186"/>
      </w:pPr>
      <w:rPr>
        <w:rFonts w:hint="default"/>
        <w:lang w:val="vi" w:eastAsia="en-US" w:bidi="ar-SA"/>
      </w:rPr>
    </w:lvl>
    <w:lvl w:ilvl="4" w:tplc="10F2559C">
      <w:numFmt w:val="bullet"/>
      <w:lvlText w:val="•"/>
      <w:lvlJc w:val="left"/>
      <w:pPr>
        <w:ind w:left="2431" w:hanging="186"/>
      </w:pPr>
      <w:rPr>
        <w:rFonts w:hint="default"/>
        <w:lang w:val="vi" w:eastAsia="en-US" w:bidi="ar-SA"/>
      </w:rPr>
    </w:lvl>
    <w:lvl w:ilvl="5" w:tplc="AC7CBE0E">
      <w:numFmt w:val="bullet"/>
      <w:lvlText w:val="•"/>
      <w:lvlJc w:val="left"/>
      <w:pPr>
        <w:ind w:left="2969" w:hanging="186"/>
      </w:pPr>
      <w:rPr>
        <w:rFonts w:hint="default"/>
        <w:lang w:val="vi" w:eastAsia="en-US" w:bidi="ar-SA"/>
      </w:rPr>
    </w:lvl>
    <w:lvl w:ilvl="6" w:tplc="90742BD2">
      <w:numFmt w:val="bullet"/>
      <w:lvlText w:val="•"/>
      <w:lvlJc w:val="left"/>
      <w:pPr>
        <w:ind w:left="3506" w:hanging="186"/>
      </w:pPr>
      <w:rPr>
        <w:rFonts w:hint="default"/>
        <w:lang w:val="vi" w:eastAsia="en-US" w:bidi="ar-SA"/>
      </w:rPr>
    </w:lvl>
    <w:lvl w:ilvl="7" w:tplc="78E68114">
      <w:numFmt w:val="bullet"/>
      <w:lvlText w:val="•"/>
      <w:lvlJc w:val="left"/>
      <w:pPr>
        <w:ind w:left="4044" w:hanging="186"/>
      </w:pPr>
      <w:rPr>
        <w:rFonts w:hint="default"/>
        <w:lang w:val="vi" w:eastAsia="en-US" w:bidi="ar-SA"/>
      </w:rPr>
    </w:lvl>
    <w:lvl w:ilvl="8" w:tplc="52481754">
      <w:numFmt w:val="bullet"/>
      <w:lvlText w:val="•"/>
      <w:lvlJc w:val="left"/>
      <w:pPr>
        <w:ind w:left="4582" w:hanging="186"/>
      </w:pPr>
      <w:rPr>
        <w:rFonts w:hint="default"/>
        <w:lang w:val="vi"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64A"/>
    <w:rsid w:val="000234A0"/>
    <w:rsid w:val="001C523F"/>
    <w:rsid w:val="004D160E"/>
    <w:rsid w:val="005A199F"/>
    <w:rsid w:val="00671C3B"/>
    <w:rsid w:val="007C564A"/>
    <w:rsid w:val="008F3240"/>
    <w:rsid w:val="0098383D"/>
    <w:rsid w:val="009F55A1"/>
    <w:rsid w:val="00A81A6F"/>
    <w:rsid w:val="00BD5AD1"/>
    <w:rsid w:val="00D156EE"/>
    <w:rsid w:val="00EE312B"/>
    <w:rsid w:val="00FD35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FEBA76-833C-4DC8-BD59-F8AD89B44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564A"/>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7C564A"/>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C564A"/>
  </w:style>
  <w:style w:type="paragraph" w:styleId="a3">
    <w:name w:val="header"/>
    <w:basedOn w:val="a"/>
    <w:link w:val="Char"/>
    <w:uiPriority w:val="99"/>
    <w:unhideWhenUsed/>
    <w:rsid w:val="004D160E"/>
    <w:pPr>
      <w:tabs>
        <w:tab w:val="center" w:pos="4513"/>
        <w:tab w:val="right" w:pos="9026"/>
      </w:tabs>
      <w:snapToGrid w:val="0"/>
    </w:pPr>
  </w:style>
  <w:style w:type="character" w:customStyle="1" w:styleId="Char">
    <w:name w:val="머리글 Char"/>
    <w:basedOn w:val="a0"/>
    <w:link w:val="a3"/>
    <w:uiPriority w:val="99"/>
    <w:rsid w:val="004D160E"/>
    <w:rPr>
      <w:rFonts w:ascii="한컴돋움" w:eastAsia="한컴돋움" w:hAnsi="한컴돋움" w:cs="한컴돋움"/>
      <w:kern w:val="0"/>
      <w:sz w:val="22"/>
      <w:lang w:val="vi" w:eastAsia="en-US"/>
    </w:rPr>
  </w:style>
  <w:style w:type="paragraph" w:styleId="a4">
    <w:name w:val="footer"/>
    <w:basedOn w:val="a"/>
    <w:link w:val="Char0"/>
    <w:uiPriority w:val="99"/>
    <w:unhideWhenUsed/>
    <w:rsid w:val="004D160E"/>
    <w:pPr>
      <w:tabs>
        <w:tab w:val="center" w:pos="4513"/>
        <w:tab w:val="right" w:pos="9026"/>
      </w:tabs>
      <w:snapToGrid w:val="0"/>
    </w:pPr>
  </w:style>
  <w:style w:type="character" w:customStyle="1" w:styleId="Char0">
    <w:name w:val="바닥글 Char"/>
    <w:basedOn w:val="a0"/>
    <w:link w:val="a4"/>
    <w:uiPriority w:val="99"/>
    <w:rsid w:val="004D160E"/>
    <w:rPr>
      <w:rFonts w:ascii="한컴돋움" w:eastAsia="한컴돋움" w:hAnsi="한컴돋움" w:cs="한컴돋움"/>
      <w:kern w:val="0"/>
      <w:sz w:val="22"/>
      <w:lang w:val="vi" w:eastAsia="en-US"/>
    </w:rPr>
  </w:style>
  <w:style w:type="paragraph" w:styleId="a5">
    <w:name w:val="No Spacing"/>
    <w:uiPriority w:val="1"/>
    <w:qFormat/>
    <w:rsid w:val="004D160E"/>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table" w:styleId="a6">
    <w:name w:val="Table Grid"/>
    <w:basedOn w:val="a1"/>
    <w:uiPriority w:val="39"/>
    <w:rsid w:val="00A81A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777</Words>
  <Characters>4433</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2023-10-14T03:36:00Z</dcterms:created>
  <dcterms:modified xsi:type="dcterms:W3CDTF">2023-10-14T03:36:00Z</dcterms:modified>
</cp:coreProperties>
</file>