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D0" w:rsidRDefault="005C02D0" w:rsidP="005C02D0">
      <w:r>
        <w:t>Review</w:t>
      </w:r>
      <w:r>
        <w:tab/>
        <w:t>Review</w:t>
      </w:r>
      <w:r>
        <w:t xml:space="preserve"> </w:t>
      </w:r>
      <w:r>
        <w:t>Subject</w:t>
      </w:r>
      <w:r>
        <w:tab/>
        <w:t>To domestic corporationsApplicable or not</w:t>
      </w:r>
      <w:r>
        <w:t xml:space="preserve"> </w:t>
      </w:r>
      <w:r>
        <w:t>yes</w:t>
      </w:r>
      <w:r>
        <w:t xml:space="preserve"> </w:t>
      </w:r>
      <w:r>
        <w:t>No</w:t>
      </w:r>
      <w:r>
        <w:t xml:space="preserve"> </w:t>
      </w:r>
      <w:r>
        <w:t>Industry Requirements</w:t>
      </w:r>
      <w:r>
        <w:tab/>
        <w:t>Whether the business is engaged in a business other than consumer services or real estate rental and supply business</w:t>
      </w:r>
      <w:r>
        <w:t xml:space="preserve"> </w:t>
      </w:r>
      <w:r>
        <w:t>Consumable service industry (Restriction of Special Taxation Act)Enforcement Decree §29③)</w:t>
      </w:r>
      <w:r>
        <w:t xml:space="preserve"> </w:t>
      </w:r>
      <w:r>
        <w:t>hotel industryand inn business (excluding the tourist lodging business under the Tourism Promotion Act);Bar business (excluding foreigner-only entertainment restaurants and tourist entertainment restaurants pursuant to the Tourism Promotion Act)</w:t>
      </w:r>
      <w:r>
        <w:t xml:space="preserve"> </w:t>
      </w:r>
      <w:r>
        <w:t>yes</w:t>
      </w:r>
      <w:r>
        <w:t xml:space="preserve"> </w:t>
      </w:r>
      <w:r>
        <w:t>No</w:t>
      </w:r>
      <w:r>
        <w:t xml:space="preserve"> </w:t>
      </w:r>
      <w:r>
        <w:t>deductible assets</w:t>
      </w:r>
      <w:r>
        <w:tab/>
        <w:t>① machinery etc. For business use to tangible assetsDoes it apply?</w:t>
      </w:r>
      <w:r>
        <w:t xml:space="preserve"> </w:t>
      </w:r>
      <w:r>
        <w:t>- Land, buildings, vehicles, fixtures, etc. are excluded from deduction (Enforcement Decree §21② of the Restriction of Special Taxation Act)</w:t>
      </w:r>
      <w:r>
        <w:t xml:space="preserve"> </w:t>
      </w:r>
      <w:r>
        <w:rPr>
          <w:rFonts w:hint="eastAsia"/>
        </w:rPr>
        <w:t>②</w:t>
      </w:r>
      <w:r>
        <w:t xml:space="preserve"> Research and human resources development,Energy conservation and environmental preservation facilities, whether they are essential assets considering the characteristics of  each industry (Article §21③ of the Enforcement Decree of the Restriction of Special Taxation Act)</w:t>
      </w:r>
      <w:r>
        <w:t xml:space="preserve"> </w:t>
      </w:r>
      <w:r>
        <w:rPr>
          <w:rFonts w:hint="eastAsia"/>
        </w:rPr>
        <w:t>③</w:t>
      </w:r>
      <w:r>
        <w:t xml:space="preserve"> Acquired intellectual property rights (patent rights, utility model rights, etc.) acquired by small and medium-</w:t>
      </w:r>
      <w:r>
        <w:t xml:space="preserve">sized enterprises and mid-sized </w:t>
      </w:r>
      <w:r>
        <w:t>companiesdesign right) (Article §21③ of the Enforcement Decree of the Restri</w:t>
      </w:r>
      <w:r>
        <w:t xml:space="preserve">ction of Special Taxation Act) </w:t>
      </w:r>
      <w:r>
        <w:t>yes</w:t>
      </w:r>
      <w:r>
        <w:t xml:space="preserve"> </w:t>
      </w:r>
      <w:r>
        <w:t>No</w:t>
      </w:r>
      <w:r>
        <w:t xml:space="preserve"> investment area </w:t>
      </w:r>
      <w:r>
        <w:t>Metropolitan area overconcentration control area outside In investment Does it apply (Restriction of Special Taxation Act)§130①･②)</w:t>
      </w:r>
    </w:p>
    <w:p w:rsidR="005C02D0" w:rsidRDefault="005C02D0" w:rsidP="005C02D0">
      <w:pPr>
        <w:rPr>
          <w:rFonts w:hint="eastAsia"/>
          <w:lang w:eastAsia="ko-KR"/>
        </w:rPr>
      </w:pPr>
      <w:r>
        <w:t>&lt;In the metropolitan overconcentration control area Wh</w:t>
      </w:r>
      <w:r>
        <w:t>en investing deductionWhether &gt;</w:t>
      </w:r>
      <w:r>
        <w:rPr>
          <w:rFonts w:hint="eastAsia"/>
          <w:lang w:eastAsia="ko-KR"/>
        </w:rPr>
        <w:t xml:space="preserve"> </w:t>
      </w:r>
    </w:p>
    <w:p w:rsidR="005C02D0" w:rsidRDefault="005C02D0" w:rsidP="005C02D0">
      <w:r>
        <w:t xml:space="preserve">Nineminute alternative investment </w:t>
      </w:r>
      <w:r>
        <w:t>expansion investment</w:t>
      </w:r>
      <w:r>
        <w:t xml:space="preserve"> small business </w:t>
      </w:r>
      <w:r>
        <w:t>○</w:t>
      </w:r>
      <w:r>
        <w:tab/>
      </w:r>
      <w:r>
        <w:t xml:space="preserve"> </w:t>
      </w:r>
      <w:r>
        <w:t>X1)</w:t>
      </w:r>
      <w:r>
        <w:t xml:space="preserve"> Other companies </w:t>
      </w:r>
      <w:r>
        <w:t>Since before December 31, 1989Continuing to operate business in the metropolitan</w:t>
      </w:r>
      <w:r>
        <w:t xml:space="preserve"> overconcentration control area ○ </w:t>
      </w:r>
      <w:r>
        <w:t>X1)</w:t>
      </w:r>
      <w:r>
        <w:t xml:space="preserve"> </w:t>
      </w:r>
      <w:r>
        <w:t>After '90.1.1.Business in the metropolitan overconcentrationcontrol area Commencement or transfer</w:t>
      </w:r>
      <w:r>
        <w:t xml:space="preserve"> </w:t>
      </w:r>
      <w:r>
        <w:t>X2)</w:t>
      </w:r>
      <w:r>
        <w:t xml:space="preserve"> </w:t>
      </w:r>
      <w:r>
        <w:t>X1)</w:t>
      </w:r>
      <w:r>
        <w:t xml:space="preserve"> </w:t>
      </w:r>
      <w:r>
        <w:t>1) For business purposes such as investment in industrial complexes or industrial areas, broadcasting equipment, information and communication equipment, etc.fixed assetsAcquisition is deductible</w:t>
      </w:r>
    </w:p>
    <w:p w:rsidR="005C02D0" w:rsidRDefault="005C02D0" w:rsidP="005C02D0">
      <w:r>
        <w:t>2) Broadcasting equipment and information and communication equipmentAcquisition of fixed assets</w:t>
      </w:r>
      <w:r>
        <w:t xml:space="preserve"> for business purposes, such as yes </w:t>
      </w:r>
      <w:r>
        <w:t>No</w:t>
      </w:r>
      <w:r>
        <w:t xml:space="preserve"> deduction rate </w:t>
      </w:r>
      <w:r>
        <w:t>If the above requirements are met, an amount equivalent to a set ratio will be paid depending on the company size.deduction from corporate tax</w:t>
      </w:r>
      <w:r>
        <w:t xml:space="preserve"> </w:t>
      </w:r>
      <w:r>
        <w:t>(%)</w:t>
      </w:r>
      <w:r>
        <w:t xml:space="preserve"> </w:t>
      </w:r>
      <w:r>
        <w:t>division</w:t>
      </w:r>
      <w:r>
        <w:t xml:space="preserve"> </w:t>
      </w:r>
      <w:r>
        <w:t>Current term</w:t>
      </w:r>
      <w:r>
        <w:t xml:space="preserve"> </w:t>
      </w:r>
      <w:r>
        <w:t>increment</w:t>
      </w:r>
      <w:r>
        <w:t xml:space="preserve"> </w:t>
      </w:r>
      <w:r>
        <w:t>big</w:t>
      </w:r>
      <w:r>
        <w:tab/>
        <w:t>midsize</w:t>
      </w:r>
      <w:r>
        <w:tab/>
        <w:t>small and medium</w:t>
      </w:r>
      <w:r>
        <w:tab/>
      </w:r>
      <w:r>
        <w:t xml:space="preserve"> </w:t>
      </w:r>
      <w:r>
        <w:t>Dayhalf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</w:t>
      </w:r>
      <w:r>
        <w:t>10</w:t>
      </w:r>
      <w:r>
        <w:t xml:space="preserve"> </w:t>
      </w:r>
      <w:r>
        <w:t>3</w:t>
      </w:r>
      <w:r>
        <w:t xml:space="preserve"> </w:t>
      </w:r>
      <w:r>
        <w:t>New growth and source technology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12</w:t>
      </w:r>
      <w:r>
        <w:t xml:space="preserve"> </w:t>
      </w:r>
      <w:r>
        <w:t>National strategic technology*</w:t>
      </w:r>
      <w:r>
        <w:t xml:space="preserve"> </w:t>
      </w:r>
      <w:r>
        <w:t>6</w:t>
      </w:r>
      <w:r>
        <w:t xml:space="preserve"> </w:t>
      </w:r>
      <w:r>
        <w:t>8</w:t>
      </w:r>
      <w:r>
        <w:t xml:space="preserve"> </w:t>
      </w:r>
      <w:r>
        <w:t>16</w:t>
      </w:r>
      <w:r>
        <w:t xml:space="preserve"> </w:t>
      </w:r>
      <w:r>
        <w:t>4</w:t>
      </w:r>
      <w:r>
        <w:t xml:space="preserve"> </w:t>
      </w:r>
      <w:r>
        <w:t>* Applies to those investing in facilit</w:t>
      </w:r>
      <w:r>
        <w:t xml:space="preserve">ies from '21.7.1. to '24.12.31. yes </w:t>
      </w:r>
      <w:bookmarkStart w:id="0" w:name="_GoBack"/>
      <w:bookmarkEnd w:id="0"/>
      <w:r>
        <w:t>No</w:t>
      </w:r>
    </w:p>
    <w:p w:rsidR="005C02D0" w:rsidRPr="005C02D0" w:rsidRDefault="005C02D0"/>
    <w:sectPr w:rsidR="005C02D0" w:rsidRPr="005C02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B61" w:rsidRDefault="00CC3B61" w:rsidP="006E3D39">
      <w:r>
        <w:separator/>
      </w:r>
    </w:p>
  </w:endnote>
  <w:endnote w:type="continuationSeparator" w:id="0">
    <w:p w:rsidR="00CC3B61" w:rsidRDefault="00CC3B61" w:rsidP="006E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B61" w:rsidRDefault="00CC3B61" w:rsidP="006E3D39">
      <w:r>
        <w:separator/>
      </w:r>
    </w:p>
  </w:footnote>
  <w:footnote w:type="continuationSeparator" w:id="0">
    <w:p w:rsidR="00CC3B61" w:rsidRDefault="00CC3B61" w:rsidP="006E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93B4D"/>
    <w:multiLevelType w:val="hybridMultilevel"/>
    <w:tmpl w:val="8ECC8ACA"/>
    <w:lvl w:ilvl="0" w:tplc="EEAAAF46">
      <w:start w:val="2"/>
      <w:numFmt w:val="bullet"/>
      <w:lvlText w:val=""/>
      <w:lvlJc w:val="left"/>
      <w:pPr>
        <w:ind w:left="430" w:hanging="360"/>
      </w:pPr>
      <w:rPr>
        <w:rFonts w:ascii="Wingdings" w:eastAsia="한컴돋움" w:hAnsi="Wingdings" w:cs="Arial" w:hint="default"/>
        <w:w w:val="90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1">
    <w:nsid w:val="401A79D8"/>
    <w:multiLevelType w:val="hybridMultilevel"/>
    <w:tmpl w:val="DB4A1F96"/>
    <w:lvl w:ilvl="0" w:tplc="C6F4FAD8">
      <w:start w:val="1"/>
      <w:numFmt w:val="bullet"/>
      <w:lvlText w:val="-"/>
      <w:lvlJc w:val="left"/>
      <w:pPr>
        <w:ind w:left="432" w:hanging="360"/>
      </w:pPr>
      <w:rPr>
        <w:rFonts w:ascii="Arial" w:eastAsia="한컴돋움" w:hAnsi="Arial" w:cs="Arial" w:hint="default"/>
        <w:w w:val="90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2">
    <w:nsid w:val="41F34044"/>
    <w:multiLevelType w:val="hybridMultilevel"/>
    <w:tmpl w:val="4BD6E93A"/>
    <w:lvl w:ilvl="0" w:tplc="0D48FC56">
      <w:start w:val="1"/>
      <w:numFmt w:val="decimal"/>
      <w:lvlText w:val="%1)"/>
      <w:lvlJc w:val="left"/>
      <w:pPr>
        <w:ind w:left="420" w:hanging="234"/>
        <w:jc w:val="left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2"/>
        <w:sz w:val="18"/>
        <w:szCs w:val="18"/>
        <w:lang w:val="vi" w:eastAsia="en-US" w:bidi="ar-SA"/>
      </w:rPr>
    </w:lvl>
    <w:lvl w:ilvl="1" w:tplc="F6500F68">
      <w:numFmt w:val="bullet"/>
      <w:lvlText w:val="•"/>
      <w:lvlJc w:val="left"/>
      <w:pPr>
        <w:ind w:left="926" w:hanging="234"/>
      </w:pPr>
      <w:rPr>
        <w:rFonts w:hint="default"/>
        <w:lang w:val="vi" w:eastAsia="en-US" w:bidi="ar-SA"/>
      </w:rPr>
    </w:lvl>
    <w:lvl w:ilvl="2" w:tplc="6010A2EA">
      <w:numFmt w:val="bullet"/>
      <w:lvlText w:val="•"/>
      <w:lvlJc w:val="left"/>
      <w:pPr>
        <w:ind w:left="1433" w:hanging="234"/>
      </w:pPr>
      <w:rPr>
        <w:rFonts w:hint="default"/>
        <w:lang w:val="vi" w:eastAsia="en-US" w:bidi="ar-SA"/>
      </w:rPr>
    </w:lvl>
    <w:lvl w:ilvl="3" w:tplc="68B68DBE">
      <w:numFmt w:val="bullet"/>
      <w:lvlText w:val="•"/>
      <w:lvlJc w:val="left"/>
      <w:pPr>
        <w:ind w:left="1940" w:hanging="234"/>
      </w:pPr>
      <w:rPr>
        <w:rFonts w:hint="default"/>
        <w:lang w:val="vi" w:eastAsia="en-US" w:bidi="ar-SA"/>
      </w:rPr>
    </w:lvl>
    <w:lvl w:ilvl="4" w:tplc="58448E9E">
      <w:numFmt w:val="bullet"/>
      <w:lvlText w:val="•"/>
      <w:lvlJc w:val="left"/>
      <w:pPr>
        <w:ind w:left="2447" w:hanging="234"/>
      </w:pPr>
      <w:rPr>
        <w:rFonts w:hint="default"/>
        <w:lang w:val="vi" w:eastAsia="en-US" w:bidi="ar-SA"/>
      </w:rPr>
    </w:lvl>
    <w:lvl w:ilvl="5" w:tplc="A790CA96">
      <w:numFmt w:val="bullet"/>
      <w:lvlText w:val="•"/>
      <w:lvlJc w:val="left"/>
      <w:pPr>
        <w:ind w:left="2954" w:hanging="234"/>
      </w:pPr>
      <w:rPr>
        <w:rFonts w:hint="default"/>
        <w:lang w:val="vi" w:eastAsia="en-US" w:bidi="ar-SA"/>
      </w:rPr>
    </w:lvl>
    <w:lvl w:ilvl="6" w:tplc="5DA8525C">
      <w:numFmt w:val="bullet"/>
      <w:lvlText w:val="•"/>
      <w:lvlJc w:val="left"/>
      <w:pPr>
        <w:ind w:left="3460" w:hanging="234"/>
      </w:pPr>
      <w:rPr>
        <w:rFonts w:hint="default"/>
        <w:lang w:val="vi" w:eastAsia="en-US" w:bidi="ar-SA"/>
      </w:rPr>
    </w:lvl>
    <w:lvl w:ilvl="7" w:tplc="0DCA7A12">
      <w:numFmt w:val="bullet"/>
      <w:lvlText w:val="•"/>
      <w:lvlJc w:val="left"/>
      <w:pPr>
        <w:ind w:left="3967" w:hanging="234"/>
      </w:pPr>
      <w:rPr>
        <w:rFonts w:hint="default"/>
        <w:lang w:val="vi" w:eastAsia="en-US" w:bidi="ar-SA"/>
      </w:rPr>
    </w:lvl>
    <w:lvl w:ilvl="8" w:tplc="64DCD63C">
      <w:numFmt w:val="bullet"/>
      <w:lvlText w:val="•"/>
      <w:lvlJc w:val="left"/>
      <w:pPr>
        <w:ind w:left="4474" w:hanging="234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A0"/>
    <w:rsid w:val="00113107"/>
    <w:rsid w:val="00210586"/>
    <w:rsid w:val="00242120"/>
    <w:rsid w:val="003F5091"/>
    <w:rsid w:val="004E3723"/>
    <w:rsid w:val="004E60F3"/>
    <w:rsid w:val="004F3790"/>
    <w:rsid w:val="005C02D0"/>
    <w:rsid w:val="006E3D39"/>
    <w:rsid w:val="007F08A0"/>
    <w:rsid w:val="008A58E5"/>
    <w:rsid w:val="008D6CF4"/>
    <w:rsid w:val="008E0B23"/>
    <w:rsid w:val="00B14F0A"/>
    <w:rsid w:val="00C01400"/>
    <w:rsid w:val="00C83B4E"/>
    <w:rsid w:val="00CC3B61"/>
    <w:rsid w:val="00D3396E"/>
    <w:rsid w:val="00EB38A4"/>
    <w:rsid w:val="00FD3579"/>
    <w:rsid w:val="00FD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4DE4C1-8F1F-4A6B-8F04-87A574EA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8A0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F08A0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F08A0"/>
  </w:style>
  <w:style w:type="paragraph" w:styleId="a3">
    <w:name w:val="header"/>
    <w:basedOn w:val="a"/>
    <w:link w:val="Char"/>
    <w:uiPriority w:val="99"/>
    <w:unhideWhenUsed/>
    <w:rsid w:val="006E3D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E3D39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4">
    <w:name w:val="footer"/>
    <w:basedOn w:val="a"/>
    <w:link w:val="Char0"/>
    <w:uiPriority w:val="99"/>
    <w:unhideWhenUsed/>
    <w:rsid w:val="006E3D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E3D39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5">
    <w:name w:val="No Spacing"/>
    <w:uiPriority w:val="1"/>
    <w:qFormat/>
    <w:rsid w:val="006E3D39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table" w:styleId="a6">
    <w:name w:val="Table Grid"/>
    <w:basedOn w:val="a1"/>
    <w:uiPriority w:val="39"/>
    <w:rsid w:val="006E3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2023-10-16T06:33:00Z</dcterms:created>
  <dcterms:modified xsi:type="dcterms:W3CDTF">2023-10-16T06:35:00Z</dcterms:modified>
</cp:coreProperties>
</file>