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DE" w:rsidRPr="004263DE" w:rsidRDefault="004263DE" w:rsidP="004263DE">
      <w:pPr>
        <w:pStyle w:val="a5"/>
        <w:jc w:val="left"/>
        <w:rPr>
          <w:rFonts w:ascii="Arial" w:hAnsi="Arial" w:cs="Arial"/>
          <w:sz w:val="18"/>
          <w:szCs w:val="18"/>
        </w:rPr>
      </w:pPr>
      <w:r w:rsidRPr="004263DE">
        <w:rPr>
          <w:rFonts w:ascii="Arial" w:hAnsi="Arial" w:cs="Arial"/>
          <w:sz w:val="18"/>
          <w:szCs w:val="18"/>
        </w:rPr>
        <w:t>Review</w:t>
      </w:r>
      <w:r w:rsidRPr="004263DE">
        <w:rPr>
          <w:rFonts w:ascii="Arial" w:hAnsi="Arial" w:cs="Arial"/>
          <w:sz w:val="18"/>
          <w:szCs w:val="18"/>
        </w:rPr>
        <w:tab/>
        <w:t>Fit or not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Subject</w:t>
      </w:r>
      <w:r w:rsidRPr="004263DE">
        <w:rPr>
          <w:rFonts w:ascii="Arial" w:hAnsi="Arial" w:cs="Arial"/>
          <w:sz w:val="18"/>
          <w:szCs w:val="18"/>
        </w:rPr>
        <w:tab/>
        <w:t>Whether a reported or recognized research institute or research department is established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laboratory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Research department</w:t>
      </w:r>
      <w:r w:rsidRPr="004263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correspondingdoesn't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exist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* In accordance with §14-2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①</w:t>
      </w:r>
      <w:r w:rsidRPr="004263DE">
        <w:rPr>
          <w:rFonts w:ascii="Arial" w:hAnsi="Arial" w:cs="Arial"/>
          <w:sz w:val="18"/>
          <w:szCs w:val="18"/>
        </w:rPr>
        <w:t xml:space="preserve"> of the Basic Research Promotion and Technology Development Support </w:t>
      </w:r>
      <w:proofErr w:type="spellStart"/>
      <w:r w:rsidRPr="004263DE">
        <w:rPr>
          <w:rFonts w:ascii="Arial" w:hAnsi="Arial" w:cs="Arial"/>
          <w:sz w:val="18"/>
          <w:szCs w:val="18"/>
        </w:rPr>
        <w:t>ActResearch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institutes recognized under Article 17-3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①</w:t>
      </w:r>
      <w:r w:rsidRPr="004263DE">
        <w:rPr>
          <w:rFonts w:ascii="Arial" w:hAnsi="Arial" w:cs="Arial"/>
          <w:sz w:val="18"/>
          <w:szCs w:val="18"/>
        </w:rPr>
        <w:t xml:space="preserve"> of the Framework Act on Cultur</w:t>
      </w:r>
      <w:r>
        <w:rPr>
          <w:rFonts w:ascii="Arial" w:hAnsi="Arial" w:cs="Arial"/>
          <w:sz w:val="18"/>
          <w:szCs w:val="18"/>
        </w:rPr>
        <w:t xml:space="preserve">al Industry Promotion, etc. </w:t>
      </w:r>
      <w:r w:rsidRPr="004263DE">
        <w:rPr>
          <w:rFonts w:ascii="Arial" w:hAnsi="Arial" w:cs="Arial"/>
          <w:sz w:val="18"/>
          <w:szCs w:val="18"/>
        </w:rPr>
        <w:t xml:space="preserve">yes </w:t>
      </w:r>
      <w:r w:rsidRPr="004263DE">
        <w:rPr>
          <w:rFonts w:ascii="Arial" w:hAnsi="Arial" w:cs="Arial"/>
          <w:sz w:val="18"/>
          <w:szCs w:val="18"/>
        </w:rPr>
        <w:t>No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Deductible Expenses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Whether you have spent any of the research and human resources development expenses deductible below: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classification</w:t>
      </w:r>
      <w:r w:rsidRPr="004263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correspondingWhether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1)New growth and original technology research and development expenses**</w:t>
      </w:r>
      <w:r w:rsidRPr="004263DE"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2)National strategic technology research and development expe</w:t>
      </w:r>
      <w:r w:rsidRPr="004263DE">
        <w:rPr>
          <w:rFonts w:ascii="Arial" w:hAnsi="Arial" w:cs="Arial"/>
          <w:sz w:val="18"/>
          <w:szCs w:val="18"/>
        </w:rPr>
        <w:t xml:space="preserve">nses </w:t>
      </w:r>
      <w:r w:rsidRPr="004263DE">
        <w:rPr>
          <w:rFonts w:ascii="Arial" w:hAnsi="Arial" w:cs="Arial"/>
          <w:sz w:val="18"/>
          <w:szCs w:val="18"/>
        </w:rPr>
        <w:t xml:space="preserve">3) </w:t>
      </w:r>
      <w:proofErr w:type="spellStart"/>
      <w:r w:rsidRPr="004263DE">
        <w:rPr>
          <w:rFonts w:ascii="Arial" w:hAnsi="Arial" w:cs="Arial"/>
          <w:sz w:val="18"/>
          <w:szCs w:val="18"/>
        </w:rPr>
        <w:t>commonResearch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and human</w:t>
      </w:r>
      <w:r>
        <w:rPr>
          <w:rFonts w:ascii="Arial" w:hAnsi="Arial" w:cs="Arial"/>
          <w:sz w:val="18"/>
          <w:szCs w:val="18"/>
        </w:rPr>
        <w:t xml:space="preserve"> resources development expenses </w:t>
      </w:r>
      <w:r w:rsidRPr="004263DE">
        <w:rPr>
          <w:rFonts w:ascii="Arial" w:hAnsi="Arial" w:cs="Arial"/>
          <w:sz w:val="18"/>
          <w:szCs w:val="18"/>
        </w:rPr>
        <w:t xml:space="preserve">* Restriction of Special Taxation </w:t>
      </w:r>
      <w:proofErr w:type="spellStart"/>
      <w:r w:rsidRPr="004263DE">
        <w:rPr>
          <w:rFonts w:ascii="Arial" w:hAnsi="Arial" w:cs="Arial"/>
          <w:sz w:val="18"/>
          <w:szCs w:val="18"/>
        </w:rPr>
        <w:t>ActAppended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Table 6 of the Enforcement </w:t>
      </w:r>
      <w:proofErr w:type="spellStart"/>
      <w:r w:rsidRPr="004263DE">
        <w:rPr>
          <w:rFonts w:ascii="Arial" w:hAnsi="Arial" w:cs="Arial"/>
          <w:sz w:val="18"/>
          <w:szCs w:val="18"/>
        </w:rPr>
        <w:t>DecreeDeductible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research and human resources development expenses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 xml:space="preserve">** Special Taxation Restriction </w:t>
      </w:r>
      <w:proofErr w:type="spellStart"/>
      <w:r w:rsidRPr="004263DE">
        <w:rPr>
          <w:rFonts w:ascii="Arial" w:hAnsi="Arial" w:cs="Arial"/>
          <w:sz w:val="18"/>
          <w:szCs w:val="18"/>
        </w:rPr>
        <w:t>ActStandards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for each new growth and source technology sector in Annex 7 of the Enforcement Decree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(Notice)</w:t>
      </w:r>
    </w:p>
    <w:p w:rsidR="004263DE" w:rsidRPr="004263DE" w:rsidRDefault="004263DE" w:rsidP="004263DE">
      <w:pPr>
        <w:pStyle w:val="a5"/>
        <w:jc w:val="left"/>
        <w:rPr>
          <w:rFonts w:ascii="Arial" w:hAnsi="Arial" w:cs="Arial"/>
          <w:sz w:val="18"/>
          <w:szCs w:val="18"/>
        </w:rPr>
      </w:pP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①</w:t>
      </w:r>
      <w:r w:rsidRPr="004263DE">
        <w:rPr>
          <w:rFonts w:ascii="Arial" w:hAnsi="Arial" w:cs="Arial"/>
          <w:sz w:val="18"/>
          <w:szCs w:val="18"/>
        </w:rPr>
        <w:t xml:space="preserve"> Limited to human resource development expenses for employees working in research institutes or research departments (excluding research management employee labor expenses)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②</w:t>
      </w:r>
      <w:r w:rsidRPr="004263DE">
        <w:rPr>
          <w:rFonts w:ascii="Arial" w:hAnsi="Arial" w:cs="Arial"/>
          <w:sz w:val="18"/>
          <w:szCs w:val="18"/>
        </w:rPr>
        <w:t xml:space="preserve"> Labor costs for researchers concurrently carrying out other duties are excluded.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③</w:t>
      </w:r>
      <w:r w:rsidRPr="004263DE">
        <w:rPr>
          <w:rFonts w:ascii="Arial" w:hAnsi="Arial" w:cs="Arial"/>
          <w:sz w:val="18"/>
          <w:szCs w:val="18"/>
        </w:rPr>
        <w:t xml:space="preserve"> Excludes R&amp;D expenses incurred through government contributions, etc.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④</w:t>
      </w:r>
      <w:r w:rsidRPr="004263DE">
        <w:rPr>
          <w:rFonts w:ascii="Arial" w:hAnsi="Arial" w:cs="Arial"/>
          <w:sz w:val="18"/>
          <w:szCs w:val="18"/>
        </w:rPr>
        <w:t xml:space="preserve"> Costs for purchasing research samples, parts, raw materials and reagents for the research department are included, but consumables costs and welfare costs are excluded.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⑤</w:t>
      </w:r>
      <w:r w:rsidRPr="004263DE">
        <w:rPr>
          <w:rFonts w:ascii="Arial" w:hAnsi="Arial" w:cs="Arial"/>
          <w:sz w:val="18"/>
          <w:szCs w:val="18"/>
        </w:rPr>
        <w:t xml:space="preserve">Computer hardware or software for direct use in the research </w:t>
      </w:r>
      <w:proofErr w:type="spellStart"/>
      <w:r w:rsidRPr="004263DE">
        <w:rPr>
          <w:rFonts w:ascii="Arial" w:hAnsi="Arial" w:cs="Arial"/>
          <w:sz w:val="18"/>
          <w:szCs w:val="18"/>
        </w:rPr>
        <w:t>departmentThe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purchase cost of research and testing facilities is excluded, but the rental cost of the facility is included.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Y</w:t>
      </w:r>
      <w:r w:rsidRPr="004263DE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deduction rate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commonIs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the tax credit rate for research and human resources development expenses appropriate?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 xml:space="preserve">1. New growth and source </w:t>
      </w:r>
      <w:proofErr w:type="spellStart"/>
      <w:r w:rsidRPr="004263DE">
        <w:rPr>
          <w:rFonts w:ascii="Arial" w:hAnsi="Arial" w:cs="Arial"/>
          <w:sz w:val="18"/>
          <w:szCs w:val="18"/>
        </w:rPr>
        <w:t>technologyResearch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and development expenses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small business</w:t>
      </w:r>
      <w:r w:rsidRPr="004263DE">
        <w:rPr>
          <w:rFonts w:ascii="Arial" w:hAnsi="Arial" w:cs="Arial"/>
          <w:sz w:val="18"/>
          <w:szCs w:val="18"/>
        </w:rPr>
        <w:tab/>
        <w:t>KOSDAQ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listingmidsize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business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general company</w:t>
      </w:r>
      <w:r>
        <w:rPr>
          <w:rFonts w:ascii="Arial" w:hAnsi="Arial" w:cs="Arial"/>
          <w:sz w:val="18"/>
          <w:szCs w:val="18"/>
        </w:rPr>
        <w:t xml:space="preserve"> aximum40%(30%+α) </w:t>
      </w:r>
      <w:r w:rsidRPr="004263DE">
        <w:rPr>
          <w:rFonts w:ascii="Arial" w:hAnsi="Arial" w:cs="Arial"/>
          <w:sz w:val="18"/>
          <w:szCs w:val="18"/>
        </w:rPr>
        <w:t>maximum40%(25%</w:t>
      </w:r>
      <w:r w:rsidRPr="004263DE">
        <w:rPr>
          <w:rFonts w:ascii="Arial" w:hAnsi="Arial" w:cs="Arial"/>
          <w:sz w:val="18"/>
          <w:szCs w:val="18"/>
        </w:rPr>
        <w:t>＋</w:t>
      </w:r>
      <w:r>
        <w:rPr>
          <w:rFonts w:ascii="Arial" w:hAnsi="Arial" w:cs="Arial"/>
          <w:sz w:val="18"/>
          <w:szCs w:val="18"/>
        </w:rPr>
        <w:t xml:space="preserve">α) </w:t>
      </w:r>
      <w:r w:rsidRPr="004263DE">
        <w:rPr>
          <w:rFonts w:ascii="Arial" w:hAnsi="Arial" w:cs="Arial"/>
          <w:sz w:val="18"/>
          <w:szCs w:val="18"/>
        </w:rPr>
        <w:t>maximum30%(20%+α)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 xml:space="preserve">* </w:t>
      </w:r>
      <w:proofErr w:type="gramStart"/>
      <w:r w:rsidRPr="004263DE">
        <w:rPr>
          <w:rFonts w:ascii="Arial" w:hAnsi="Arial" w:cs="Arial"/>
          <w:sz w:val="18"/>
          <w:szCs w:val="18"/>
        </w:rPr>
        <w:t>α :</w:t>
      </w:r>
      <w:proofErr w:type="gramEnd"/>
      <w:r w:rsidRPr="004263DE">
        <w:rPr>
          <w:rFonts w:ascii="Arial" w:hAnsi="Arial" w:cs="Arial"/>
          <w:sz w:val="18"/>
          <w:szCs w:val="18"/>
        </w:rPr>
        <w:t xml:space="preserve"> Import amount prepare new growth R&amp;D Specific gravity × 3 times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 xml:space="preserve">2. national strategic </w:t>
      </w:r>
      <w:proofErr w:type="spellStart"/>
      <w:r w:rsidRPr="004263DE">
        <w:rPr>
          <w:rFonts w:ascii="Arial" w:hAnsi="Arial" w:cs="Arial"/>
          <w:sz w:val="18"/>
          <w:szCs w:val="18"/>
        </w:rPr>
        <w:t>technologyResearch</w:t>
      </w:r>
      <w:proofErr w:type="spellEnd"/>
      <w:r w:rsidRPr="004263DE">
        <w:rPr>
          <w:rFonts w:ascii="Arial" w:hAnsi="Arial" w:cs="Arial"/>
          <w:sz w:val="18"/>
          <w:szCs w:val="18"/>
        </w:rPr>
        <w:t xml:space="preserve"> and development expenses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smal</w:t>
      </w:r>
      <w:r>
        <w:rPr>
          <w:rFonts w:ascii="Arial" w:hAnsi="Arial" w:cs="Arial"/>
          <w:sz w:val="18"/>
          <w:szCs w:val="18"/>
        </w:rPr>
        <w:t xml:space="preserve">l business </w:t>
      </w:r>
      <w:r w:rsidRPr="004263DE">
        <w:rPr>
          <w:rFonts w:ascii="Arial" w:hAnsi="Arial" w:cs="Arial"/>
          <w:sz w:val="18"/>
          <w:szCs w:val="18"/>
        </w:rPr>
        <w:t>Medium/Large Enterprise</w:t>
      </w:r>
      <w:r>
        <w:rPr>
          <w:rFonts w:ascii="Arial" w:hAnsi="Arial" w:cs="Arial"/>
          <w:sz w:val="18"/>
          <w:szCs w:val="18"/>
        </w:rPr>
        <w:t xml:space="preserve"> maximum50%(40%+α) </w:t>
      </w:r>
      <w:r w:rsidRPr="004263DE">
        <w:rPr>
          <w:rFonts w:ascii="Arial" w:hAnsi="Arial" w:cs="Arial"/>
          <w:sz w:val="18"/>
          <w:szCs w:val="18"/>
        </w:rPr>
        <w:t>maximum40%(30%+α)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 xml:space="preserve">* </w:t>
      </w:r>
      <w:proofErr w:type="gramStart"/>
      <w:r w:rsidRPr="004263DE">
        <w:rPr>
          <w:rFonts w:ascii="Arial" w:hAnsi="Arial" w:cs="Arial"/>
          <w:sz w:val="18"/>
          <w:szCs w:val="18"/>
        </w:rPr>
        <w:t>α :</w:t>
      </w:r>
      <w:proofErr w:type="gramEnd"/>
      <w:r w:rsidRPr="004263DE">
        <w:rPr>
          <w:rFonts w:ascii="Arial" w:hAnsi="Arial" w:cs="Arial"/>
          <w:sz w:val="18"/>
          <w:szCs w:val="18"/>
        </w:rPr>
        <w:t xml:space="preserve"> Import amount prepare national strategic technology R&amp;D Specific gravity × 3 times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3. common Research and human resources development expenses (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①</w:t>
      </w:r>
      <w:r w:rsidRPr="004263DE">
        <w:rPr>
          <w:rFonts w:ascii="Arial" w:hAnsi="Arial" w:cs="Arial"/>
          <w:sz w:val="18"/>
          <w:szCs w:val="18"/>
        </w:rPr>
        <w:t xml:space="preserve">,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②</w:t>
      </w:r>
      <w:r w:rsidRPr="004263DE">
        <w:rPr>
          <w:rFonts w:ascii="Arial" w:hAnsi="Arial" w:cs="Arial"/>
          <w:sz w:val="18"/>
          <w:szCs w:val="18"/>
        </w:rPr>
        <w:t xml:space="preserve"> middle </w:t>
      </w:r>
      <w:proofErr w:type="spellStart"/>
      <w:r w:rsidRPr="004263DE">
        <w:rPr>
          <w:rFonts w:ascii="Arial" w:hAnsi="Arial" w:cs="Arial"/>
          <w:sz w:val="18"/>
          <w:szCs w:val="18"/>
        </w:rPr>
        <w:t>bigthing</w:t>
      </w:r>
      <w:proofErr w:type="spellEnd"/>
      <w:r w:rsidRPr="004263D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①</w:t>
      </w:r>
      <w:r w:rsidRPr="004263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Incrementmethod</w:t>
      </w:r>
      <w:proofErr w:type="spellEnd"/>
      <w:r w:rsidRPr="004263DE"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Small and medium-sized busi</w:t>
      </w:r>
      <w:r>
        <w:rPr>
          <w:rFonts w:ascii="Arial" w:hAnsi="Arial" w:cs="Arial"/>
          <w:sz w:val="18"/>
          <w:szCs w:val="18"/>
        </w:rPr>
        <w:t xml:space="preserve">nesses (including grace period) </w:t>
      </w:r>
      <w:r w:rsidRPr="004263DE">
        <w:rPr>
          <w:rFonts w:ascii="Arial" w:hAnsi="Arial" w:cs="Arial"/>
          <w:sz w:val="18"/>
          <w:szCs w:val="18"/>
        </w:rPr>
        <w:t>general company</w:t>
      </w:r>
      <w:r>
        <w:rPr>
          <w:rFonts w:ascii="Arial" w:hAnsi="Arial" w:cs="Arial"/>
          <w:sz w:val="18"/>
          <w:szCs w:val="18"/>
        </w:rPr>
        <w:t xml:space="preserve"> 50% </w:t>
      </w:r>
      <w:r w:rsidRPr="004263DE">
        <w:rPr>
          <w:rFonts w:ascii="Arial" w:hAnsi="Arial" w:cs="Arial"/>
          <w:sz w:val="18"/>
          <w:szCs w:val="18"/>
        </w:rPr>
        <w:t>25% (mid-sized companies)40%)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* Research and development expenses for the previous year: ('15 after)Previous year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③</w:t>
      </w:r>
      <w:r w:rsidRPr="004263DE">
        <w:rPr>
          <w:rFonts w:ascii="Arial" w:hAnsi="Arial" w:cs="Arial"/>
          <w:sz w:val="18"/>
          <w:szCs w:val="18"/>
        </w:rPr>
        <w:t xml:space="preserve"> Current </w:t>
      </w:r>
      <w:proofErr w:type="spellStart"/>
      <w:r w:rsidRPr="004263DE">
        <w:rPr>
          <w:rFonts w:ascii="Arial" w:hAnsi="Arial" w:cs="Arial"/>
          <w:sz w:val="18"/>
          <w:szCs w:val="18"/>
        </w:rPr>
        <w:t>periodmethod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Small and medium-sized businesses (grace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63DE">
        <w:rPr>
          <w:rFonts w:ascii="Arial" w:hAnsi="Arial" w:cs="Arial"/>
          <w:sz w:val="18"/>
          <w:szCs w:val="18"/>
        </w:rPr>
        <w:t>eriodinclude</w:t>
      </w:r>
      <w:proofErr w:type="spellEnd"/>
      <w:r w:rsidRPr="004263D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Mid-sized company 1st to 3rd year</w:t>
      </w:r>
      <w:r w:rsidRPr="004263DE">
        <w:rPr>
          <w:rFonts w:ascii="Arial" w:hAnsi="Arial" w:cs="Arial"/>
          <w:sz w:val="18"/>
          <w:szCs w:val="18"/>
        </w:rPr>
        <w:tab/>
        <w:t>4-5 years of e</w:t>
      </w:r>
      <w:r>
        <w:rPr>
          <w:rFonts w:ascii="Arial" w:hAnsi="Arial" w:cs="Arial"/>
          <w:sz w:val="18"/>
          <w:szCs w:val="18"/>
        </w:rPr>
        <w:t xml:space="preserve">xperience at a mid-size company midsize </w:t>
      </w:r>
      <w:r w:rsidRPr="004263DE">
        <w:rPr>
          <w:rFonts w:ascii="Arial" w:hAnsi="Arial" w:cs="Arial"/>
          <w:sz w:val="18"/>
          <w:szCs w:val="18"/>
        </w:rPr>
        <w:t>business</w:t>
      </w:r>
      <w:r w:rsidRPr="004263DE">
        <w:rPr>
          <w:rFonts w:ascii="Arial" w:hAnsi="Arial" w:cs="Arial"/>
          <w:sz w:val="18"/>
          <w:szCs w:val="18"/>
        </w:rPr>
        <w:tab/>
        <w:t>general company</w:t>
      </w:r>
      <w:r>
        <w:rPr>
          <w:rFonts w:ascii="Arial" w:hAnsi="Arial" w:cs="Arial"/>
          <w:sz w:val="18"/>
          <w:szCs w:val="18"/>
        </w:rPr>
        <w:t xml:space="preserve"> 25% 15% 10% 8% </w:t>
      </w:r>
      <w:r w:rsidRPr="004263DE">
        <w:rPr>
          <w:rFonts w:ascii="Arial" w:hAnsi="Arial" w:cs="Arial"/>
          <w:sz w:val="18"/>
          <w:szCs w:val="18"/>
        </w:rPr>
        <w:t>0</w:t>
      </w:r>
      <w:r w:rsidRPr="004263DE">
        <w:rPr>
          <w:rFonts w:ascii="맑은 고딕" w:eastAsia="맑은 고딕" w:hAnsi="맑은 고딕" w:cs="맑은 고딕" w:hint="eastAsia"/>
          <w:sz w:val="18"/>
          <w:szCs w:val="18"/>
        </w:rPr>
        <w:t>∼</w:t>
      </w:r>
      <w:r w:rsidRPr="004263DE">
        <w:rPr>
          <w:rFonts w:ascii="Arial" w:hAnsi="Arial" w:cs="Arial"/>
          <w:sz w:val="18"/>
          <w:szCs w:val="18"/>
        </w:rPr>
        <w:t>2*%</w:t>
      </w:r>
      <w:r>
        <w:rPr>
          <w:rFonts w:ascii="Arial" w:hAnsi="Arial" w:cs="Arial"/>
          <w:sz w:val="18"/>
          <w:szCs w:val="18"/>
        </w:rPr>
        <w:t xml:space="preserve"> </w:t>
      </w:r>
      <w:r w:rsidRPr="004263DE">
        <w:rPr>
          <w:rFonts w:ascii="Arial" w:hAnsi="Arial" w:cs="Arial"/>
          <w:sz w:val="18"/>
          <w:szCs w:val="18"/>
        </w:rPr>
        <w:t>* '0%+maximum2</w:t>
      </w:r>
      <w:r>
        <w:rPr>
          <w:rFonts w:ascii="Arial" w:hAnsi="Arial" w:cs="Arial"/>
          <w:sz w:val="18"/>
          <w:szCs w:val="18"/>
        </w:rPr>
        <w:t xml:space="preserve">%{(R&amp;D cost/import amount)×1/2} yes </w:t>
      </w:r>
      <w:bookmarkStart w:id="0" w:name="_GoBack"/>
      <w:bookmarkEnd w:id="0"/>
      <w:r w:rsidRPr="004263DE">
        <w:rPr>
          <w:rFonts w:ascii="Arial" w:hAnsi="Arial" w:cs="Arial"/>
          <w:sz w:val="18"/>
          <w:szCs w:val="18"/>
        </w:rPr>
        <w:t>No</w:t>
      </w:r>
    </w:p>
    <w:p w:rsidR="004263DE" w:rsidRPr="004263DE" w:rsidRDefault="004263DE" w:rsidP="004263DE">
      <w:pPr>
        <w:pStyle w:val="a5"/>
        <w:jc w:val="left"/>
        <w:rPr>
          <w:rFonts w:ascii="Arial" w:hAnsi="Arial" w:cs="Arial"/>
          <w:sz w:val="18"/>
          <w:szCs w:val="18"/>
        </w:rPr>
      </w:pPr>
    </w:p>
    <w:sectPr w:rsidR="004263DE" w:rsidRPr="00426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B2" w:rsidRDefault="00D058B2" w:rsidP="00A121CA">
      <w:pPr>
        <w:spacing w:after="0" w:line="240" w:lineRule="auto"/>
      </w:pPr>
      <w:r>
        <w:separator/>
      </w:r>
    </w:p>
  </w:endnote>
  <w:endnote w:type="continuationSeparator" w:id="0">
    <w:p w:rsidR="00D058B2" w:rsidRDefault="00D058B2" w:rsidP="00A1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B2" w:rsidRDefault="00D058B2" w:rsidP="00A121CA">
      <w:pPr>
        <w:spacing w:after="0" w:line="240" w:lineRule="auto"/>
      </w:pPr>
      <w:r>
        <w:separator/>
      </w:r>
    </w:p>
  </w:footnote>
  <w:footnote w:type="continuationSeparator" w:id="0">
    <w:p w:rsidR="00D058B2" w:rsidRDefault="00D058B2" w:rsidP="00A1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B7B51"/>
    <w:multiLevelType w:val="hybridMultilevel"/>
    <w:tmpl w:val="5FC4540E"/>
    <w:lvl w:ilvl="0" w:tplc="62EA4598">
      <w:start w:val="2"/>
      <w:numFmt w:val="bullet"/>
      <w:lvlText w:val=""/>
      <w:lvlJc w:val="left"/>
      <w:pPr>
        <w:ind w:left="445" w:hanging="360"/>
      </w:pPr>
      <w:rPr>
        <w:rFonts w:ascii="Wingdings" w:eastAsiaTheme="minorEastAsia" w:hAnsi="Wingdings" w:cs="Arial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abstractNum w:abstractNumId="1">
    <w:nsid w:val="270B087C"/>
    <w:multiLevelType w:val="hybridMultilevel"/>
    <w:tmpl w:val="9C34EE38"/>
    <w:lvl w:ilvl="0" w:tplc="30908A6A">
      <w:start w:val="3"/>
      <w:numFmt w:val="bullet"/>
      <w:lvlText w:val=""/>
      <w:lvlJc w:val="left"/>
      <w:pPr>
        <w:ind w:left="441" w:hanging="360"/>
      </w:pPr>
      <w:rPr>
        <w:rFonts w:ascii="Wingdings" w:eastAsiaTheme="minorEastAsia" w:hAnsi="Wingdings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2">
    <w:nsid w:val="399F40E4"/>
    <w:multiLevelType w:val="hybridMultilevel"/>
    <w:tmpl w:val="5D0ABAAE"/>
    <w:lvl w:ilvl="0" w:tplc="1F22B9BC">
      <w:start w:val="1"/>
      <w:numFmt w:val="decimal"/>
      <w:lvlText w:val="%1."/>
      <w:lvlJc w:val="left"/>
      <w:pPr>
        <w:ind w:left="335" w:hanging="239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3"/>
        <w:w w:val="90"/>
        <w:sz w:val="18"/>
        <w:szCs w:val="18"/>
        <w:lang w:val="vi" w:eastAsia="en-US" w:bidi="ar-SA"/>
      </w:rPr>
    </w:lvl>
    <w:lvl w:ilvl="1" w:tplc="E186780C">
      <w:numFmt w:val="bullet"/>
      <w:lvlText w:val="*"/>
      <w:lvlJc w:val="left"/>
      <w:pPr>
        <w:ind w:left="534" w:hanging="170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8"/>
        <w:szCs w:val="18"/>
        <w:lang w:val="vi" w:eastAsia="en-US" w:bidi="ar-SA"/>
      </w:rPr>
    </w:lvl>
    <w:lvl w:ilvl="2" w:tplc="F7F4F188">
      <w:numFmt w:val="bullet"/>
      <w:lvlText w:val="•"/>
      <w:lvlJc w:val="left"/>
      <w:pPr>
        <w:ind w:left="540" w:hanging="170"/>
      </w:pPr>
      <w:rPr>
        <w:rFonts w:hint="default"/>
        <w:lang w:val="vi" w:eastAsia="en-US" w:bidi="ar-SA"/>
      </w:rPr>
    </w:lvl>
    <w:lvl w:ilvl="3" w:tplc="79D2F41C">
      <w:numFmt w:val="bullet"/>
      <w:lvlText w:val="•"/>
      <w:lvlJc w:val="left"/>
      <w:pPr>
        <w:ind w:left="1156" w:hanging="170"/>
      </w:pPr>
      <w:rPr>
        <w:rFonts w:hint="default"/>
        <w:lang w:val="vi" w:eastAsia="en-US" w:bidi="ar-SA"/>
      </w:rPr>
    </w:lvl>
    <w:lvl w:ilvl="4" w:tplc="79DA2F9C">
      <w:numFmt w:val="bullet"/>
      <w:lvlText w:val="•"/>
      <w:lvlJc w:val="left"/>
      <w:pPr>
        <w:ind w:left="1773" w:hanging="170"/>
      </w:pPr>
      <w:rPr>
        <w:rFonts w:hint="default"/>
        <w:lang w:val="vi" w:eastAsia="en-US" w:bidi="ar-SA"/>
      </w:rPr>
    </w:lvl>
    <w:lvl w:ilvl="5" w:tplc="C9EA8A5A">
      <w:numFmt w:val="bullet"/>
      <w:lvlText w:val="•"/>
      <w:lvlJc w:val="left"/>
      <w:pPr>
        <w:ind w:left="2389" w:hanging="170"/>
      </w:pPr>
      <w:rPr>
        <w:rFonts w:hint="default"/>
        <w:lang w:val="vi" w:eastAsia="en-US" w:bidi="ar-SA"/>
      </w:rPr>
    </w:lvl>
    <w:lvl w:ilvl="6" w:tplc="0248FA4E">
      <w:numFmt w:val="bullet"/>
      <w:lvlText w:val="•"/>
      <w:lvlJc w:val="left"/>
      <w:pPr>
        <w:ind w:left="3006" w:hanging="170"/>
      </w:pPr>
      <w:rPr>
        <w:rFonts w:hint="default"/>
        <w:lang w:val="vi" w:eastAsia="en-US" w:bidi="ar-SA"/>
      </w:rPr>
    </w:lvl>
    <w:lvl w:ilvl="7" w:tplc="1C58C460">
      <w:numFmt w:val="bullet"/>
      <w:lvlText w:val="•"/>
      <w:lvlJc w:val="left"/>
      <w:pPr>
        <w:ind w:left="3622" w:hanging="170"/>
      </w:pPr>
      <w:rPr>
        <w:rFonts w:hint="default"/>
        <w:lang w:val="vi" w:eastAsia="en-US" w:bidi="ar-SA"/>
      </w:rPr>
    </w:lvl>
    <w:lvl w:ilvl="8" w:tplc="232477D2">
      <w:numFmt w:val="bullet"/>
      <w:lvlText w:val="•"/>
      <w:lvlJc w:val="left"/>
      <w:pPr>
        <w:ind w:left="4239" w:hanging="170"/>
      </w:pPr>
      <w:rPr>
        <w:rFonts w:hint="default"/>
        <w:lang w:val="vi" w:eastAsia="en-US" w:bidi="ar-SA"/>
      </w:rPr>
    </w:lvl>
  </w:abstractNum>
  <w:abstractNum w:abstractNumId="3">
    <w:nsid w:val="57F35F3A"/>
    <w:multiLevelType w:val="hybridMultilevel"/>
    <w:tmpl w:val="F28A46D2"/>
    <w:lvl w:ilvl="0" w:tplc="40FC6F4A">
      <w:start w:val="1"/>
      <w:numFmt w:val="bullet"/>
      <w:lvlText w:val=""/>
      <w:lvlJc w:val="left"/>
      <w:pPr>
        <w:ind w:left="445" w:hanging="360"/>
      </w:pPr>
      <w:rPr>
        <w:rFonts w:ascii="Wingdings" w:eastAsiaTheme="minorEastAsia" w:hAnsi="Wingdings" w:cs="Arial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E"/>
    <w:rsid w:val="00144079"/>
    <w:rsid w:val="002E532C"/>
    <w:rsid w:val="003A51E5"/>
    <w:rsid w:val="004263DE"/>
    <w:rsid w:val="006721AB"/>
    <w:rsid w:val="00842EF4"/>
    <w:rsid w:val="008732CF"/>
    <w:rsid w:val="00890AB6"/>
    <w:rsid w:val="008E2D7E"/>
    <w:rsid w:val="009E11FC"/>
    <w:rsid w:val="00A121CA"/>
    <w:rsid w:val="00B00998"/>
    <w:rsid w:val="00B04B27"/>
    <w:rsid w:val="00B059DA"/>
    <w:rsid w:val="00CD1CD4"/>
    <w:rsid w:val="00D058B2"/>
    <w:rsid w:val="00D43A9A"/>
    <w:rsid w:val="00F1363C"/>
    <w:rsid w:val="00F51D44"/>
    <w:rsid w:val="00FA5CFF"/>
    <w:rsid w:val="00FD0730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E43A8-AAE0-47C1-960D-728241B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2D7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E2D7E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3">
    <w:name w:val="header"/>
    <w:basedOn w:val="a"/>
    <w:link w:val="Char"/>
    <w:uiPriority w:val="99"/>
    <w:unhideWhenUsed/>
    <w:rsid w:val="00A12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21CA"/>
  </w:style>
  <w:style w:type="paragraph" w:styleId="a4">
    <w:name w:val="footer"/>
    <w:basedOn w:val="a"/>
    <w:link w:val="Char0"/>
    <w:uiPriority w:val="99"/>
    <w:unhideWhenUsed/>
    <w:rsid w:val="00A12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21CA"/>
  </w:style>
  <w:style w:type="paragraph" w:styleId="a5">
    <w:name w:val="No Spacing"/>
    <w:uiPriority w:val="1"/>
    <w:qFormat/>
    <w:rsid w:val="00A121CA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FA5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2023-10-16T06:18:00Z</dcterms:created>
  <dcterms:modified xsi:type="dcterms:W3CDTF">2023-10-16T06:21:00Z</dcterms:modified>
</cp:coreProperties>
</file>