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BCAC" w14:textId="5664F5A2" w:rsidR="009317EE" w:rsidRDefault="00A301E8">
      <w:r>
        <w:t>과세표준 2010.1.</w:t>
      </w:r>
      <w:proofErr w:type="gramStart"/>
      <w:r>
        <w:t>1.∼</w:t>
      </w:r>
      <w:proofErr w:type="gramEnd"/>
      <w:r>
        <w:t>2011. 12. 31. 기간 중에 개시하는 사업연도 2012.1.</w:t>
      </w:r>
      <w:proofErr w:type="gramStart"/>
      <w:r>
        <w:t>1.∼</w:t>
      </w:r>
      <w:proofErr w:type="gramEnd"/>
      <w:r>
        <w:t xml:space="preserve">2017. 12. 31. 기간 중에 개시하는 사업연도 2018. 1. 1. 이후 개시하는 사업연도 2023. 1. 1. 이후 개시하는 사업연도 3,000억원 초과 22% 22% 25% 24% 200억원 초과 22% 21% 2억원∼200억원 이하 20% 20% 19% 2억원 이하 10% 10% 10% 9% * </w:t>
      </w:r>
      <w:proofErr w:type="spellStart"/>
      <w:r>
        <w:t>조특법</w:t>
      </w:r>
      <w:proofErr w:type="spellEnd"/>
      <w:r>
        <w:t>§72의 조합법인 등은 2025.12.31. 이전에 끝나는 사업연도까지 9% 적용 (다만, 2015. 1. 1. 이후 개시하는 사업연도부터는 20억원 초과금액에 대해서는 12% 적용)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E8"/>
    <w:rsid w:val="009317EE"/>
    <w:rsid w:val="00A301E8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8D21"/>
  <w15:chartTrackingRefBased/>
  <w15:docId w15:val="{FE58E974-49FA-4C7F-B5DA-A272431E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2023-09-22T15:19:00Z</dcterms:created>
  <dcterms:modified xsi:type="dcterms:W3CDTF">2023-09-22T15:19:00Z</dcterms:modified>
</cp:coreProperties>
</file>