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93293F" w:rsidRDefault="0093293F" w:rsidP="0093293F">
      <w:pPr>
        <w:rPr>
          <w:rFonts w:ascii="Arial" w:hAnsi="Arial" w:cs="Arial"/>
        </w:rPr>
      </w:pPr>
      <w:r w:rsidRPr="0093293F">
        <w:rPr>
          <w:rFonts w:ascii="Arial" w:hAnsi="Arial" w:cs="Arial"/>
        </w:rPr>
        <w:t>Net profit for the period according to the financial statements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Differential income amount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Adjustment of special expenses subject to minimum tax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Income amount calculation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Donation limit exceeded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Income amount for each fiscal year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 xml:space="preserve">Tax adjustment according to legal form (Enforcement Rule §82 </w:t>
      </w:r>
      <w:r w:rsidRPr="0093293F">
        <w:rPr>
          <w:rFonts w:ascii="굴림" w:eastAsia="굴림" w:hAnsi="굴림" w:cs="굴림" w:hint="eastAsia"/>
        </w:rPr>
        <w:t>①</w:t>
      </w:r>
      <w:r w:rsidRPr="0093293F">
        <w:rPr>
          <w:rFonts w:ascii="Arial" w:hAnsi="Arial" w:cs="Arial"/>
        </w:rPr>
        <w:t>)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Tax adjustment without legal forms (calculation details and supporting documents)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Income amount adjustment total table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Capital and reserve adjustment statement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Minimum tax adjustment invoice</w:t>
      </w:r>
      <w:r w:rsidR="00D53F82">
        <w:rPr>
          <w:rFonts w:ascii="Arial" w:hAnsi="Arial" w:cs="Arial" w:hint="eastAsia"/>
        </w:rPr>
        <w:t xml:space="preserve"> </w:t>
      </w:r>
      <w:r w:rsidRPr="0093293F">
        <w:rPr>
          <w:rFonts w:ascii="Arial" w:hAnsi="Arial" w:cs="Arial"/>
        </w:rPr>
        <w:t>Donation adjustment statement</w:t>
      </w:r>
      <w:r w:rsidR="00D53F82"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93293F">
        <w:rPr>
          <w:rFonts w:ascii="Arial" w:hAnsi="Arial" w:cs="Arial"/>
        </w:rPr>
        <w:t>Contribution limit exceeded carryover amount included in deductible</w:t>
      </w:r>
    </w:p>
    <w:sectPr w:rsidR="00FA4CFF" w:rsidRPr="00932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D2"/>
    <w:rsid w:val="001A0DCD"/>
    <w:rsid w:val="006123F4"/>
    <w:rsid w:val="0093293F"/>
    <w:rsid w:val="00B350D2"/>
    <w:rsid w:val="00D40FF9"/>
    <w:rsid w:val="00D53F82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2023-10-12T02:35:00Z</dcterms:created>
  <dcterms:modified xsi:type="dcterms:W3CDTF">2023-10-12T06:15:00Z</dcterms:modified>
</cp:coreProperties>
</file>