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1F6B" w14:textId="2734F87C" w:rsidR="002E581B" w:rsidRDefault="002E581B">
      <w:r>
        <w:t>종류 구분 기준 기부금 업무와 관련 없는 지출 접대비 업무와 관련 있는 지출 특정고객을 위한 지출 광고선전비 불특정 다수인을 위한 지</w:t>
      </w:r>
    </w:p>
    <w:sectPr w:rsidR="002E58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1B"/>
    <w:rsid w:val="002E581B"/>
    <w:rsid w:val="008E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EA37"/>
  <w15:chartTrackingRefBased/>
  <w15:docId w15:val="{BEB74438-27F0-4E40-A64B-2392DBA5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2</cp:revision>
  <dcterms:created xsi:type="dcterms:W3CDTF">2023-09-15T01:22:00Z</dcterms:created>
  <dcterms:modified xsi:type="dcterms:W3CDTF">2023-10-06T07:41:00Z</dcterms:modified>
</cp:coreProperties>
</file>