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4A9E" w14:textId="13240AC2" w:rsidR="00165023" w:rsidRPr="009D16E4" w:rsidRDefault="009D16E4" w:rsidP="009D16E4">
      <w:r>
        <w:t>(</w:t>
      </w:r>
      <w:proofErr w:type="gramStart"/>
      <w:r>
        <w:t>뒤 쪽</w:t>
      </w:r>
      <w:proofErr w:type="gramEnd"/>
      <w:r>
        <w:t xml:space="preserve">) 작 성 방 법 1. ① 접대비 해당 금액란에는 “접대비조정명세서(을)[별지 제23호서식(을)]”의 ⑦접대비 해당 금액의 </w:t>
      </w:r>
      <w:proofErr w:type="spellStart"/>
      <w:r>
        <w:t>합계란</w:t>
      </w:r>
      <w:proofErr w:type="spellEnd"/>
      <w:r>
        <w:t xml:space="preserve"> 금액을 적습니다. 2. ② 기준금액* 초과 접대비 중 신용카드 등 미사용으로 인한 </w:t>
      </w:r>
      <w:proofErr w:type="spellStart"/>
      <w:r>
        <w:t>손금불산입액란에는</w:t>
      </w:r>
      <w:proofErr w:type="spellEnd"/>
      <w:r>
        <w:t xml:space="preserve"> “접대비조정 명세서(을) [별지 제23호서식(을)]”의 </w:t>
      </w:r>
      <w:r>
        <w:rPr>
          <w:rFonts w:ascii="Cambria Math" w:hAnsi="Cambria Math" w:cs="Cambria Math"/>
        </w:rPr>
        <w:t>⑯</w:t>
      </w:r>
      <w:r>
        <w:t xml:space="preserve"> 신용카드 등 미사용 부인액의 </w:t>
      </w:r>
      <w:proofErr w:type="spellStart"/>
      <w:r>
        <w:t>합계란</w:t>
      </w:r>
      <w:proofErr w:type="spellEnd"/>
      <w:r>
        <w:t xml:space="preserve"> 금액을 적습니다. * 기준금액(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제41조제1항) - 경조사비：20만원 - 경조사비 외의 접대비：3만원 3. </w:t>
      </w:r>
      <w:proofErr w:type="spellStart"/>
      <w:r>
        <w:t>일반접대비한도</w:t>
      </w:r>
      <w:proofErr w:type="spellEnd"/>
      <w:r>
        <w:t xml:space="preserve">(④~⑧) 가. ④란에서 중소기업 외의 법인은 1,200만원, 중소기업은 3,600만원을 적용합니다. 나. 총수입금액 </w:t>
      </w:r>
      <w:proofErr w:type="spellStart"/>
      <w:r>
        <w:t>기준란의</w:t>
      </w:r>
      <w:proofErr w:type="spellEnd"/>
      <w:r>
        <w:t xml:space="preserve"> 금액란은 “접대비조정명세서(을)[별지 제23호서식(을)]”의 ③란의 금액을 금액별 </w:t>
      </w:r>
      <w:proofErr w:type="spellStart"/>
      <w:r>
        <w:t>적용률에</w:t>
      </w:r>
      <w:proofErr w:type="spellEnd"/>
      <w:r>
        <w:t xml:space="preserve"> 따라 계산된 금액을 적습니다. 다. 일반수입금액 </w:t>
      </w:r>
      <w:proofErr w:type="spellStart"/>
      <w:r>
        <w:t>기준란의</w:t>
      </w:r>
      <w:proofErr w:type="spellEnd"/>
      <w:r>
        <w:t xml:space="preserve"> 금액란은 “접대비조정명세서(을)[별지 제23호서식(을)]”의 ①란의 금액을 금액별 </w:t>
      </w:r>
      <w:proofErr w:type="spellStart"/>
      <w:r>
        <w:t>적용률에</w:t>
      </w:r>
      <w:proofErr w:type="spellEnd"/>
      <w:r>
        <w:t xml:space="preserve"> 따라 계산된 금액을 적습니다. 라. 정부가 100분의 20 이상 출자한 정부출자기관 및 정부출자기관이 출자한 법인으로서 그 정부출자기관 등이 최대주주인 법인의 경우에는 ⑧ </w:t>
      </w:r>
      <w:proofErr w:type="spellStart"/>
      <w:r>
        <w:t>일반접대비</w:t>
      </w:r>
      <w:proofErr w:type="spellEnd"/>
      <w:r>
        <w:t xml:space="preserve"> 한도액의 금액란에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제25조제1항 각 호 외의 부분에 따른 금액을 합한 금액(④＋⑥＋⑦)의 100분의 70에 상당하는 금액을 적습니다. 마. ⑦ 수입금액 </w:t>
      </w:r>
      <w:proofErr w:type="spellStart"/>
      <w:r>
        <w:t>기준란의</w:t>
      </w:r>
      <w:proofErr w:type="spellEnd"/>
      <w:r>
        <w:t xml:space="preserve"> </w:t>
      </w:r>
      <w:proofErr w:type="spellStart"/>
      <w:r>
        <w:t>적용률은</w:t>
      </w:r>
      <w:proofErr w:type="spellEnd"/>
      <w:r>
        <w:t xml:space="preserve"> 2013.1.1. 이후 개시하는 사업연도 분부터는 10%를 적용합니다. 바. ⑧ </w:t>
      </w:r>
      <w:proofErr w:type="spellStart"/>
      <w:r>
        <w:t>일반접대비</w:t>
      </w:r>
      <w:proofErr w:type="spellEnd"/>
      <w:r>
        <w:t xml:space="preserve"> 한도액 </w:t>
      </w:r>
      <w:proofErr w:type="spellStart"/>
      <w:r>
        <w:t>계산시</w:t>
      </w:r>
      <w:proofErr w:type="spellEnd"/>
      <w:r>
        <w:t xml:space="preserve"> 「법인세법 시행령」 제42조제2항에 해당하는 경우에는 ⑧ </w:t>
      </w:r>
      <w:proofErr w:type="spellStart"/>
      <w:r>
        <w:t>일반접대비</w:t>
      </w:r>
      <w:proofErr w:type="spellEnd"/>
      <w:r>
        <w:t xml:space="preserve"> 한도액에 50%를 곱한 금액을 적습니다. 4. </w:t>
      </w:r>
      <w:proofErr w:type="spellStart"/>
      <w:r>
        <w:t>문화접대비</w:t>
      </w:r>
      <w:proofErr w:type="spellEnd"/>
      <w:r>
        <w:t xml:space="preserve"> 한도(⑨~⑩)는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조세특례제한법</w:t>
      </w:r>
      <w:r>
        <w:rPr>
          <w:rFonts w:ascii="MS Mincho" w:eastAsia="MS Mincho" w:hAnsi="MS Mincho" w:cs="MS Mincho" w:hint="eastAsia"/>
        </w:rPr>
        <w:t>｣</w:t>
      </w:r>
      <w:r>
        <w:t xml:space="preserve"> 제136조제3항에 따른 </w:t>
      </w:r>
      <w:proofErr w:type="spellStart"/>
      <w:r>
        <w:t>문화접대비</w:t>
      </w:r>
      <w:proofErr w:type="spellEnd"/>
      <w:r>
        <w:t xml:space="preserve"> 지출금액이 있는 경우에 작성합니다. ⑨ </w:t>
      </w:r>
      <w:proofErr w:type="spellStart"/>
      <w:r>
        <w:t>문화접대비</w:t>
      </w:r>
      <w:proofErr w:type="spellEnd"/>
      <w:r>
        <w:t xml:space="preserve"> 지출액은 ③ 차감 접대비 해당 금액 중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조세특례제한법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제130조제5항에 따른 지출액을 적습니다. 5. ⑫ 한도초과액은 음수인 경우에 “0”으로 적습니다. 210mm×297mm[일반용지 70g/㎡(재활용품)]</w:t>
      </w:r>
    </w:p>
    <w:sectPr w:rsidR="00165023" w:rsidRPr="009D16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3"/>
    <w:rsid w:val="00165023"/>
    <w:rsid w:val="00235305"/>
    <w:rsid w:val="009D16E4"/>
    <w:rsid w:val="00A11EC3"/>
    <w:rsid w:val="00F0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6130"/>
  <w15:chartTrackingRefBased/>
  <w15:docId w15:val="{5F8E2024-353D-496C-BFA6-D409376B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2023-09-17T02:20:00Z</dcterms:created>
  <dcterms:modified xsi:type="dcterms:W3CDTF">2023-09-17T02:20:00Z</dcterms:modified>
</cp:coreProperties>
</file>