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31A" w:rsidRPr="00A9731A" w:rsidRDefault="00A9731A" w:rsidP="00A9731A">
      <w:pPr>
        <w:rPr>
          <w:rFonts w:ascii="Arial" w:hAnsi="Arial" w:cs="Arial"/>
        </w:rPr>
      </w:pPr>
    </w:p>
    <w:p w:rsidR="00A9731A" w:rsidRPr="00A9731A" w:rsidRDefault="00A9731A" w:rsidP="00A9731A">
      <w:pPr>
        <w:rPr>
          <w:rFonts w:ascii="Arial" w:hAnsi="Arial" w:cs="Arial"/>
        </w:rPr>
      </w:pPr>
      <w:r>
        <w:rPr>
          <w:rFonts w:ascii="Arial" w:hAnsi="Arial" w:cs="Arial"/>
        </w:rPr>
        <w:t>(Behind page)</w:t>
      </w:r>
      <w:r>
        <w:rPr>
          <w:rFonts w:ascii="Arial" w:hAnsi="Arial" w:cs="Arial" w:hint="eastAsia"/>
        </w:rPr>
        <w:t xml:space="preserve"> </w:t>
      </w:r>
      <w:r>
        <w:rPr>
          <w:rFonts w:ascii="Arial" w:hAnsi="Arial" w:cs="Arial"/>
        </w:rPr>
        <w:t>How to write</w:t>
      </w:r>
      <w:r>
        <w:rPr>
          <w:rFonts w:ascii="Arial" w:hAnsi="Arial" w:cs="Arial" w:hint="eastAsia"/>
        </w:rPr>
        <w:t xml:space="preserve"> </w:t>
      </w:r>
      <w:r w:rsidRPr="00A9731A">
        <w:rPr>
          <w:rFonts w:ascii="Arial" w:hAnsi="Arial" w:cs="Arial"/>
        </w:rPr>
        <w:t xml:space="preserve">1. </w:t>
      </w:r>
      <w:r w:rsidRPr="00A9731A">
        <w:rPr>
          <w:rFonts w:ascii="굴림" w:eastAsia="굴림" w:hAnsi="굴림" w:cs="굴림" w:hint="eastAsia"/>
        </w:rPr>
        <w:t>①</w:t>
      </w:r>
      <w:r w:rsidRPr="00A9731A">
        <w:rPr>
          <w:rFonts w:ascii="Arial" w:hAnsi="Arial" w:cs="Arial"/>
        </w:rPr>
        <w:t xml:space="preserve"> In the entertainment expenses amount column, enter the sum of the entertainment expenses amount in </w:t>
      </w:r>
      <w:r w:rsidRPr="00A9731A">
        <w:rPr>
          <w:rFonts w:ascii="굴림" w:eastAsia="굴림" w:hAnsi="굴림" w:cs="굴림" w:hint="eastAsia"/>
        </w:rPr>
        <w:t>⑦</w:t>
      </w:r>
      <w:r w:rsidRPr="00A9731A">
        <w:rPr>
          <w:rFonts w:ascii="Arial" w:hAnsi="Arial" w:cs="Arial"/>
        </w:rPr>
        <w:t xml:space="preserve"> of the ‘Entertainment Expense Adjustment Statement (B) [Appendix Form No. </w:t>
      </w:r>
      <w:proofErr w:type="gramStart"/>
      <w:r w:rsidRPr="00A9731A">
        <w:rPr>
          <w:rFonts w:ascii="Arial" w:hAnsi="Arial" w:cs="Arial"/>
        </w:rPr>
        <w:t>23 (B)]’.</w:t>
      </w:r>
      <w:proofErr w:type="gramEnd"/>
      <w:r>
        <w:rPr>
          <w:rFonts w:ascii="Arial" w:hAnsi="Arial" w:cs="Arial" w:hint="eastAsia"/>
        </w:rPr>
        <w:t xml:space="preserve"> </w:t>
      </w:r>
      <w:r w:rsidRPr="00A9731A">
        <w:rPr>
          <w:rFonts w:ascii="Arial" w:hAnsi="Arial" w:cs="Arial"/>
        </w:rPr>
        <w:t xml:space="preserve">2. </w:t>
      </w:r>
      <w:r w:rsidRPr="00A9731A">
        <w:rPr>
          <w:rFonts w:ascii="굴림" w:eastAsia="굴림" w:hAnsi="굴림" w:cs="굴림" w:hint="eastAsia"/>
        </w:rPr>
        <w:t>②</w:t>
      </w:r>
      <w:r w:rsidRPr="00A9731A">
        <w:rPr>
          <w:rFonts w:ascii="Arial" w:hAnsi="Arial" w:cs="Arial"/>
        </w:rPr>
        <w:t xml:space="preserve"> In the amount not included in deductible due to non-use of credit cards, etc. </w:t>
      </w:r>
      <w:proofErr w:type="gramStart"/>
      <w:r w:rsidRPr="00A9731A">
        <w:rPr>
          <w:rFonts w:ascii="Arial" w:hAnsi="Arial" w:cs="Arial"/>
        </w:rPr>
        <w:t>among</w:t>
      </w:r>
      <w:proofErr w:type="gramEnd"/>
      <w:r w:rsidRPr="00A9731A">
        <w:rPr>
          <w:rFonts w:ascii="Arial" w:hAnsi="Arial" w:cs="Arial"/>
        </w:rPr>
        <w:t xml:space="preserve"> entertainment expenses exceeding the standard amount, enter the amount in </w:t>
      </w:r>
      <w:r w:rsidRPr="00A9731A">
        <w:rPr>
          <w:rFonts w:ascii="Cambria Math" w:hAnsi="Cambria Math" w:cs="Cambria Math"/>
        </w:rPr>
        <w:t>⑯</w:t>
      </w:r>
      <w:r w:rsidRPr="00A9731A">
        <w:rPr>
          <w:rFonts w:ascii="Arial" w:hAnsi="Arial" w:cs="Arial"/>
        </w:rPr>
        <w:t xml:space="preserve"> Total amount denied for unused credit cards, etc. in the ‘Entertainment Expense Adjustment Statement (b) [Appendix Form No. 23 (b)]’. * Base amount (Article 41 (1) of the Enforcement Decree of the Corporate Tax Act)</w:t>
      </w:r>
      <w:r>
        <w:rPr>
          <w:rFonts w:ascii="Arial" w:hAnsi="Arial" w:cs="Arial" w:hint="eastAsia"/>
        </w:rPr>
        <w:t xml:space="preserve"> </w:t>
      </w:r>
      <w:r w:rsidRPr="00A9731A">
        <w:rPr>
          <w:rFonts w:ascii="Arial" w:hAnsi="Arial" w:cs="Arial"/>
        </w:rPr>
        <w:t>Congratulatory and condolence expenses: KRW 20</w:t>
      </w:r>
      <w:r>
        <w:rPr>
          <w:rFonts w:ascii="Arial" w:hAnsi="Arial" w:cs="Arial" w:hint="eastAsia"/>
        </w:rPr>
        <w:t>,</w:t>
      </w:r>
      <w:r w:rsidRPr="00A9731A">
        <w:rPr>
          <w:rFonts w:ascii="Arial" w:hAnsi="Arial" w:cs="Arial"/>
        </w:rPr>
        <w:t>000</w:t>
      </w:r>
      <w:r>
        <w:rPr>
          <w:rFonts w:ascii="Arial" w:hAnsi="Arial" w:cs="Arial" w:hint="eastAsia"/>
        </w:rPr>
        <w:t xml:space="preserve"> </w:t>
      </w:r>
      <w:r w:rsidRPr="00A9731A">
        <w:rPr>
          <w:rFonts w:ascii="Arial" w:hAnsi="Arial" w:cs="Arial"/>
        </w:rPr>
        <w:t>Entertainment expenses other than congratulatory and condolence expenses: KRW 30,000</w:t>
      </w:r>
      <w:r>
        <w:rPr>
          <w:rFonts w:ascii="Arial" w:hAnsi="Arial" w:cs="Arial" w:hint="eastAsia"/>
        </w:rPr>
        <w:t xml:space="preserve"> </w:t>
      </w:r>
      <w:r w:rsidRPr="00A9731A">
        <w:rPr>
          <w:rFonts w:ascii="Arial" w:hAnsi="Arial" w:cs="Arial"/>
        </w:rPr>
        <w:t>3. General entertainment expense limit (</w:t>
      </w:r>
      <w:r w:rsidRPr="00A9731A">
        <w:rPr>
          <w:rFonts w:ascii="굴림" w:eastAsia="굴림" w:hAnsi="굴림" w:cs="굴림" w:hint="eastAsia"/>
        </w:rPr>
        <w:t>④</w:t>
      </w:r>
      <w:r w:rsidRPr="00A9731A">
        <w:rPr>
          <w:rFonts w:ascii="Arial" w:hAnsi="Arial" w:cs="Arial"/>
        </w:rPr>
        <w:t>~</w:t>
      </w:r>
      <w:r w:rsidRPr="00A9731A">
        <w:rPr>
          <w:rFonts w:ascii="굴림" w:eastAsia="굴림" w:hAnsi="굴림" w:cs="굴림" w:hint="eastAsia"/>
        </w:rPr>
        <w:t>⑧</w:t>
      </w:r>
      <w:r w:rsidRPr="00A9731A">
        <w:rPr>
          <w:rFonts w:ascii="Arial" w:hAnsi="Arial" w:cs="Arial"/>
        </w:rPr>
        <w:t>)</w:t>
      </w:r>
      <w:r>
        <w:rPr>
          <w:rFonts w:ascii="Arial" w:hAnsi="Arial" w:cs="Arial" w:hint="eastAsia"/>
        </w:rPr>
        <w:t xml:space="preserve"> </w:t>
      </w:r>
      <w:r w:rsidRPr="00A9731A">
        <w:rPr>
          <w:rFonts w:ascii="Arial" w:hAnsi="Arial" w:cs="Arial"/>
        </w:rPr>
        <w:t xml:space="preserve">A. In column </w:t>
      </w:r>
      <w:r w:rsidRPr="00A9731A">
        <w:rPr>
          <w:rFonts w:ascii="굴림" w:eastAsia="굴림" w:hAnsi="굴림" w:cs="굴림" w:hint="eastAsia"/>
        </w:rPr>
        <w:t>④</w:t>
      </w:r>
      <w:r w:rsidRPr="00A9731A">
        <w:rPr>
          <w:rFonts w:ascii="Arial" w:hAnsi="Arial" w:cs="Arial"/>
        </w:rPr>
        <w:t>, 12 million won is applied to corporations other than small and medium-sized businesses, and 36 million won is applied to small and medium-sized businesses.</w:t>
      </w:r>
      <w:r>
        <w:rPr>
          <w:rFonts w:ascii="Arial" w:hAnsi="Arial" w:cs="Arial" w:hint="eastAsia"/>
        </w:rPr>
        <w:t xml:space="preserve"> </w:t>
      </w:r>
      <w:r w:rsidRPr="00A9731A">
        <w:rPr>
          <w:rFonts w:ascii="Arial" w:hAnsi="Arial" w:cs="Arial"/>
        </w:rPr>
        <w:t xml:space="preserve">B. In the amount column of the total income amount standard column, enter the amount in column </w:t>
      </w:r>
      <w:r w:rsidRPr="00A9731A">
        <w:rPr>
          <w:rFonts w:ascii="굴림" w:eastAsia="굴림" w:hAnsi="굴림" w:cs="굴림" w:hint="eastAsia"/>
        </w:rPr>
        <w:t>③</w:t>
      </w:r>
      <w:r w:rsidRPr="00A9731A">
        <w:rPr>
          <w:rFonts w:ascii="Arial" w:hAnsi="Arial" w:cs="Arial"/>
        </w:rPr>
        <w:t xml:space="preserve"> of the “Entertainment Expense Adjustment Statement (B) [Appendix Form No. 23 (B)]” calculated according to the application rate for each amount.</w:t>
      </w:r>
      <w:r>
        <w:rPr>
          <w:rFonts w:ascii="Arial" w:hAnsi="Arial" w:cs="Arial" w:hint="eastAsia"/>
        </w:rPr>
        <w:t xml:space="preserve"> </w:t>
      </w:r>
      <w:r w:rsidRPr="00A9731A">
        <w:rPr>
          <w:rFonts w:ascii="Arial" w:hAnsi="Arial" w:cs="Arial"/>
        </w:rPr>
        <w:t xml:space="preserve">C. In the amount column of the general income amount standard column, enter the amount in column </w:t>
      </w:r>
      <w:r w:rsidRPr="00A9731A">
        <w:rPr>
          <w:rFonts w:ascii="굴림" w:eastAsia="굴림" w:hAnsi="굴림" w:cs="굴림" w:hint="eastAsia"/>
        </w:rPr>
        <w:t>①</w:t>
      </w:r>
      <w:r w:rsidRPr="00A9731A">
        <w:rPr>
          <w:rFonts w:ascii="Arial" w:hAnsi="Arial" w:cs="Arial"/>
        </w:rPr>
        <w:t xml:space="preserve"> of the “Entertainment Expense Adjustment Statement (B) [Appendix Form No. 23 (B)]” calculated according to the application rate for each amount.</w:t>
      </w:r>
      <w:r>
        <w:rPr>
          <w:rFonts w:ascii="Arial" w:hAnsi="Arial" w:cs="Arial" w:hint="eastAsia"/>
        </w:rPr>
        <w:t xml:space="preserve"> </w:t>
      </w:r>
      <w:r w:rsidRPr="00A9731A">
        <w:rPr>
          <w:rFonts w:ascii="Arial" w:hAnsi="Arial" w:cs="Arial"/>
        </w:rPr>
        <w:t>D. In the case of a government-invested institution in which the government has invested more than 20/100, or a corporation in which the government-invested institution has invested, and the government-invested institution is the largest shareholder, enter Article 25 (1) of the Corporate Tax Act in the amount column of the limit for general entertainment expenses. Enter the amount equivalent to 70/100 of the total amount (</w:t>
      </w:r>
      <w:r w:rsidRPr="00A9731A">
        <w:rPr>
          <w:rFonts w:ascii="굴림" w:eastAsia="굴림" w:hAnsi="굴림" w:cs="굴림" w:hint="eastAsia"/>
        </w:rPr>
        <w:t>④</w:t>
      </w:r>
      <w:r w:rsidRPr="00A9731A">
        <w:rPr>
          <w:rFonts w:ascii="Arial" w:hAnsi="Arial" w:cs="Arial"/>
        </w:rPr>
        <w:t>+</w:t>
      </w:r>
      <w:r w:rsidRPr="00A9731A">
        <w:rPr>
          <w:rFonts w:ascii="굴림" w:eastAsia="굴림" w:hAnsi="굴림" w:cs="굴림" w:hint="eastAsia"/>
        </w:rPr>
        <w:t>⑥</w:t>
      </w:r>
      <w:r w:rsidRPr="00A9731A">
        <w:rPr>
          <w:rFonts w:ascii="Arial" w:hAnsi="Arial" w:cs="Arial"/>
        </w:rPr>
        <w:t>+</w:t>
      </w:r>
      <w:r w:rsidRPr="00A9731A">
        <w:rPr>
          <w:rFonts w:ascii="굴림" w:eastAsia="굴림" w:hAnsi="굴림" w:cs="굴림" w:hint="eastAsia"/>
        </w:rPr>
        <w:t>⑦</w:t>
      </w:r>
      <w:r w:rsidRPr="00A9731A">
        <w:rPr>
          <w:rFonts w:ascii="Arial" w:hAnsi="Arial" w:cs="Arial"/>
        </w:rPr>
        <w:t>).</w:t>
      </w:r>
      <w:r>
        <w:rPr>
          <w:rFonts w:ascii="Arial" w:hAnsi="Arial" w:cs="Arial" w:hint="eastAsia"/>
        </w:rPr>
        <w:t xml:space="preserve"> </w:t>
      </w:r>
      <w:r w:rsidRPr="00A9731A">
        <w:rPr>
          <w:rFonts w:ascii="Arial" w:hAnsi="Arial" w:cs="Arial"/>
        </w:rPr>
        <w:t xml:space="preserve">E. </w:t>
      </w:r>
      <w:r w:rsidRPr="00A9731A">
        <w:rPr>
          <w:rFonts w:ascii="굴림" w:eastAsia="굴림" w:hAnsi="굴림" w:cs="굴림" w:hint="eastAsia"/>
        </w:rPr>
        <w:t>⑦</w:t>
      </w:r>
      <w:r w:rsidRPr="00A9731A">
        <w:rPr>
          <w:rFonts w:ascii="Arial" w:hAnsi="Arial" w:cs="Arial"/>
        </w:rPr>
        <w:t xml:space="preserve"> </w:t>
      </w:r>
      <w:proofErr w:type="gramStart"/>
      <w:r w:rsidRPr="00A9731A">
        <w:rPr>
          <w:rFonts w:ascii="Arial" w:hAnsi="Arial" w:cs="Arial"/>
        </w:rPr>
        <w:t>The</w:t>
      </w:r>
      <w:proofErr w:type="gramEnd"/>
      <w:r w:rsidRPr="00A9731A">
        <w:rPr>
          <w:rFonts w:ascii="Arial" w:hAnsi="Arial" w:cs="Arial"/>
        </w:rPr>
        <w:t xml:space="preserve"> application rate for the import amount standard column is January 1, 2013. 10% applies from fiscal years starting thereafter.</w:t>
      </w:r>
      <w:r>
        <w:rPr>
          <w:rFonts w:ascii="Arial" w:hAnsi="Arial" w:cs="Arial" w:hint="eastAsia"/>
        </w:rPr>
        <w:t xml:space="preserve"> </w:t>
      </w:r>
      <w:r w:rsidRPr="00A9731A">
        <w:rPr>
          <w:rFonts w:ascii="Arial" w:hAnsi="Arial" w:cs="Arial"/>
        </w:rPr>
        <w:t xml:space="preserve">F. </w:t>
      </w:r>
      <w:r w:rsidRPr="00A9731A">
        <w:rPr>
          <w:rFonts w:ascii="굴림" w:eastAsia="굴림" w:hAnsi="굴림" w:cs="굴림" w:hint="eastAsia"/>
        </w:rPr>
        <w:t>⑧</w:t>
      </w:r>
      <w:r w:rsidRPr="00A9731A">
        <w:rPr>
          <w:rFonts w:ascii="Arial" w:hAnsi="Arial" w:cs="Arial"/>
        </w:rPr>
        <w:t xml:space="preserve"> </w:t>
      </w:r>
      <w:proofErr w:type="gramStart"/>
      <w:r w:rsidRPr="00A9731A">
        <w:rPr>
          <w:rFonts w:ascii="Arial" w:hAnsi="Arial" w:cs="Arial"/>
        </w:rPr>
        <w:t>When</w:t>
      </w:r>
      <w:proofErr w:type="gramEnd"/>
      <w:r w:rsidRPr="00A9731A">
        <w:rPr>
          <w:rFonts w:ascii="Arial" w:hAnsi="Arial" w:cs="Arial"/>
        </w:rPr>
        <w:t xml:space="preserve"> calculating the limit for general entertainment expenses, if it falls under Article 42 (2) of the Enforcement Decree of the Corporate Tax Act, enter the amount multiplied by 50% of the </w:t>
      </w:r>
      <w:r w:rsidRPr="00A9731A">
        <w:rPr>
          <w:rFonts w:ascii="굴림" w:eastAsia="굴림" w:hAnsi="굴림" w:cs="굴림" w:hint="eastAsia"/>
        </w:rPr>
        <w:t>⑧</w:t>
      </w:r>
      <w:r w:rsidRPr="00A9731A">
        <w:rPr>
          <w:rFonts w:ascii="Arial" w:hAnsi="Arial" w:cs="Arial"/>
        </w:rPr>
        <w:t xml:space="preserve"> limit for general entertainment expenses.4. The cultural entertainment expense limit (</w:t>
      </w:r>
      <w:r w:rsidRPr="00A9731A">
        <w:rPr>
          <w:rFonts w:ascii="굴림" w:eastAsia="굴림" w:hAnsi="굴림" w:cs="굴림" w:hint="eastAsia"/>
        </w:rPr>
        <w:t>⑨</w:t>
      </w:r>
      <w:r w:rsidRPr="00A9731A">
        <w:rPr>
          <w:rFonts w:ascii="Arial" w:hAnsi="Arial" w:cs="Arial"/>
        </w:rPr>
        <w:t>~</w:t>
      </w:r>
      <w:r w:rsidRPr="00A9731A">
        <w:rPr>
          <w:rFonts w:ascii="굴림" w:eastAsia="굴림" w:hAnsi="굴림" w:cs="굴림" w:hint="eastAsia"/>
        </w:rPr>
        <w:t>⑩</w:t>
      </w:r>
      <w:r w:rsidRPr="00A9731A">
        <w:rPr>
          <w:rFonts w:ascii="Arial" w:hAnsi="Arial" w:cs="Arial"/>
        </w:rPr>
        <w:t>) is prepared when there is a cultural entertainment expense amount pursuant to Article 136 (3) of the Restr</w:t>
      </w:r>
      <w:r>
        <w:rPr>
          <w:rFonts w:ascii="Arial" w:hAnsi="Arial" w:cs="Arial"/>
        </w:rPr>
        <w:t>iction of Special Taxation Act.</w:t>
      </w:r>
      <w:r>
        <w:rPr>
          <w:rFonts w:ascii="Arial" w:hAnsi="Arial" w:cs="Arial" w:hint="eastAsia"/>
        </w:rPr>
        <w:t xml:space="preserve"> </w:t>
      </w:r>
      <w:r w:rsidRPr="00A9731A">
        <w:rPr>
          <w:rFonts w:ascii="Arial" w:hAnsi="Arial" w:cs="Arial" w:hint="eastAsia"/>
        </w:rPr>
        <w:t>⑨</w:t>
      </w:r>
      <w:r w:rsidRPr="00A9731A">
        <w:rPr>
          <w:rFonts w:ascii="Arial" w:hAnsi="Arial" w:cs="Arial"/>
        </w:rPr>
        <w:t xml:space="preserve"> For the amount spent on cultural entertainment expenses, subtract </w:t>
      </w:r>
      <w:r w:rsidRPr="00A9731A">
        <w:rPr>
          <w:rFonts w:ascii="굴림" w:eastAsia="굴림" w:hAnsi="굴림" w:cs="굴림" w:hint="eastAsia"/>
        </w:rPr>
        <w:t>③</w:t>
      </w:r>
      <w:r w:rsidRPr="00A9731A">
        <w:rPr>
          <w:rFonts w:ascii="Arial" w:hAnsi="Arial" w:cs="Arial"/>
        </w:rPr>
        <w:t>. Enter the amount pursuant to Article 130 (5) of the Enforcement Decree of the Restriction of Special Taxation Act among the amo</w:t>
      </w:r>
      <w:r>
        <w:rPr>
          <w:rFonts w:ascii="Arial" w:hAnsi="Arial" w:cs="Arial"/>
        </w:rPr>
        <w:t>unt for entertainment expenses.</w:t>
      </w:r>
      <w:r>
        <w:rPr>
          <w:rFonts w:ascii="Arial" w:hAnsi="Arial" w:cs="Arial" w:hint="eastAsia"/>
        </w:rPr>
        <w:t xml:space="preserve"> </w:t>
      </w:r>
      <w:r w:rsidRPr="00A9731A">
        <w:rPr>
          <w:rFonts w:ascii="Arial" w:hAnsi="Arial" w:cs="Arial"/>
        </w:rPr>
        <w:t xml:space="preserve">5. </w:t>
      </w:r>
      <w:r w:rsidRPr="00A9731A">
        <w:rPr>
          <w:rFonts w:ascii="굴림" w:eastAsia="굴림" w:hAnsi="굴림" w:cs="굴림" w:hint="eastAsia"/>
        </w:rPr>
        <w:t>⑫</w:t>
      </w:r>
      <w:r w:rsidRPr="00A9731A">
        <w:rPr>
          <w:rFonts w:ascii="Arial" w:hAnsi="Arial" w:cs="Arial"/>
        </w:rPr>
        <w:t xml:space="preserve"> If the amount exceeding the limit is a negative number, write it as '0'.</w:t>
      </w:r>
      <w:r>
        <w:rPr>
          <w:rFonts w:ascii="Arial" w:hAnsi="Arial" w:cs="Arial" w:hint="eastAsia"/>
        </w:rPr>
        <w:t xml:space="preserve"> </w:t>
      </w:r>
      <w:r w:rsidRPr="00A9731A">
        <w:rPr>
          <w:rFonts w:ascii="Arial" w:hAnsi="Arial" w:cs="Arial"/>
        </w:rPr>
        <w:t>210mm×297mm [Plain paper 70g/m2 (recycled)]</w:t>
      </w:r>
    </w:p>
    <w:p w:rsidR="00A9731A" w:rsidRPr="00A9731A" w:rsidRDefault="00A9731A" w:rsidP="00A9731A">
      <w:pPr>
        <w:rPr>
          <w:rFonts w:ascii="Arial" w:hAnsi="Arial" w:cs="Arial"/>
        </w:rPr>
      </w:pPr>
    </w:p>
    <w:p w:rsidR="00A9731A" w:rsidRPr="00A9731A" w:rsidRDefault="00A9731A" w:rsidP="00A9731A">
      <w:pPr>
        <w:rPr>
          <w:rFonts w:ascii="Arial" w:hAnsi="Arial" w:cs="Arial"/>
        </w:rPr>
      </w:pPr>
      <w:bookmarkStart w:id="0" w:name="_GoBack"/>
      <w:bookmarkEnd w:id="0"/>
    </w:p>
    <w:p w:rsidR="00025926" w:rsidRPr="00A9731A" w:rsidRDefault="00025926" w:rsidP="00A9731A"/>
    <w:sectPr w:rsidR="00025926" w:rsidRPr="00A9731A" w:rsidSect="00422AB3">
      <w:pgSz w:w="11907" w:h="19845"/>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58D" w:rsidRDefault="00EF158D" w:rsidP="009976CC">
      <w:pPr>
        <w:spacing w:after="0" w:line="240" w:lineRule="auto"/>
      </w:pPr>
      <w:r>
        <w:separator/>
      </w:r>
    </w:p>
  </w:endnote>
  <w:endnote w:type="continuationSeparator" w:id="0">
    <w:p w:rsidR="00EF158D" w:rsidRDefault="00EF158D" w:rsidP="00997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58D" w:rsidRDefault="00EF158D" w:rsidP="009976CC">
      <w:pPr>
        <w:spacing w:after="0" w:line="240" w:lineRule="auto"/>
      </w:pPr>
      <w:r>
        <w:separator/>
      </w:r>
    </w:p>
  </w:footnote>
  <w:footnote w:type="continuationSeparator" w:id="0">
    <w:p w:rsidR="00EF158D" w:rsidRDefault="00EF158D" w:rsidP="009976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A89"/>
    <w:rsid w:val="00025926"/>
    <w:rsid w:val="000409C5"/>
    <w:rsid w:val="000E5BB2"/>
    <w:rsid w:val="0011506E"/>
    <w:rsid w:val="001665D2"/>
    <w:rsid w:val="001A0DCD"/>
    <w:rsid w:val="001F4B9E"/>
    <w:rsid w:val="0020133F"/>
    <w:rsid w:val="00204C96"/>
    <w:rsid w:val="00227AB6"/>
    <w:rsid w:val="002433BC"/>
    <w:rsid w:val="002A1BA0"/>
    <w:rsid w:val="00413D77"/>
    <w:rsid w:val="00422AB3"/>
    <w:rsid w:val="00427C5C"/>
    <w:rsid w:val="004462BA"/>
    <w:rsid w:val="004B066F"/>
    <w:rsid w:val="0059423F"/>
    <w:rsid w:val="005B0442"/>
    <w:rsid w:val="006123F4"/>
    <w:rsid w:val="006B12E5"/>
    <w:rsid w:val="007C204C"/>
    <w:rsid w:val="00815280"/>
    <w:rsid w:val="00817A89"/>
    <w:rsid w:val="008A099D"/>
    <w:rsid w:val="009976CC"/>
    <w:rsid w:val="009F2FDB"/>
    <w:rsid w:val="00A41576"/>
    <w:rsid w:val="00A80FC6"/>
    <w:rsid w:val="00A84C0F"/>
    <w:rsid w:val="00A9731A"/>
    <w:rsid w:val="00B90822"/>
    <w:rsid w:val="00BD37E2"/>
    <w:rsid w:val="00D40FF9"/>
    <w:rsid w:val="00D54ADE"/>
    <w:rsid w:val="00D759FB"/>
    <w:rsid w:val="00DD1603"/>
    <w:rsid w:val="00E27501"/>
    <w:rsid w:val="00E52AC5"/>
    <w:rsid w:val="00E62937"/>
    <w:rsid w:val="00EB28DA"/>
    <w:rsid w:val="00ED5884"/>
    <w:rsid w:val="00EF158D"/>
    <w:rsid w:val="00F263B8"/>
    <w:rsid w:val="00FA4CFF"/>
    <w:rsid w:val="00FE3D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1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17A89"/>
    <w:rPr>
      <w:color w:val="808080"/>
    </w:rPr>
  </w:style>
  <w:style w:type="paragraph" w:styleId="a5">
    <w:name w:val="Balloon Text"/>
    <w:basedOn w:val="a"/>
    <w:link w:val="Char"/>
    <w:uiPriority w:val="99"/>
    <w:semiHidden/>
    <w:unhideWhenUsed/>
    <w:rsid w:val="00817A8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817A89"/>
    <w:rPr>
      <w:rFonts w:asciiTheme="majorHAnsi" w:eastAsiaTheme="majorEastAsia" w:hAnsiTheme="majorHAnsi" w:cstheme="majorBidi"/>
      <w:sz w:val="18"/>
      <w:szCs w:val="18"/>
    </w:rPr>
  </w:style>
  <w:style w:type="paragraph" w:styleId="a6">
    <w:name w:val="header"/>
    <w:basedOn w:val="a"/>
    <w:link w:val="Char0"/>
    <w:uiPriority w:val="99"/>
    <w:unhideWhenUsed/>
    <w:rsid w:val="009976CC"/>
    <w:pPr>
      <w:tabs>
        <w:tab w:val="center" w:pos="4513"/>
        <w:tab w:val="right" w:pos="9026"/>
      </w:tabs>
      <w:snapToGrid w:val="0"/>
    </w:pPr>
  </w:style>
  <w:style w:type="character" w:customStyle="1" w:styleId="Char0">
    <w:name w:val="머리글 Char"/>
    <w:basedOn w:val="a0"/>
    <w:link w:val="a6"/>
    <w:uiPriority w:val="99"/>
    <w:rsid w:val="009976CC"/>
  </w:style>
  <w:style w:type="paragraph" w:styleId="a7">
    <w:name w:val="footer"/>
    <w:basedOn w:val="a"/>
    <w:link w:val="Char1"/>
    <w:uiPriority w:val="99"/>
    <w:unhideWhenUsed/>
    <w:rsid w:val="009976CC"/>
    <w:pPr>
      <w:tabs>
        <w:tab w:val="center" w:pos="4513"/>
        <w:tab w:val="right" w:pos="9026"/>
      </w:tabs>
      <w:snapToGrid w:val="0"/>
    </w:pPr>
  </w:style>
  <w:style w:type="character" w:customStyle="1" w:styleId="Char1">
    <w:name w:val="바닥글 Char"/>
    <w:basedOn w:val="a0"/>
    <w:link w:val="a7"/>
    <w:uiPriority w:val="99"/>
    <w:rsid w:val="009976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1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17A89"/>
    <w:rPr>
      <w:color w:val="808080"/>
    </w:rPr>
  </w:style>
  <w:style w:type="paragraph" w:styleId="a5">
    <w:name w:val="Balloon Text"/>
    <w:basedOn w:val="a"/>
    <w:link w:val="Char"/>
    <w:uiPriority w:val="99"/>
    <w:semiHidden/>
    <w:unhideWhenUsed/>
    <w:rsid w:val="00817A8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817A89"/>
    <w:rPr>
      <w:rFonts w:asciiTheme="majorHAnsi" w:eastAsiaTheme="majorEastAsia" w:hAnsiTheme="majorHAnsi" w:cstheme="majorBidi"/>
      <w:sz w:val="18"/>
      <w:szCs w:val="18"/>
    </w:rPr>
  </w:style>
  <w:style w:type="paragraph" w:styleId="a6">
    <w:name w:val="header"/>
    <w:basedOn w:val="a"/>
    <w:link w:val="Char0"/>
    <w:uiPriority w:val="99"/>
    <w:unhideWhenUsed/>
    <w:rsid w:val="009976CC"/>
    <w:pPr>
      <w:tabs>
        <w:tab w:val="center" w:pos="4513"/>
        <w:tab w:val="right" w:pos="9026"/>
      </w:tabs>
      <w:snapToGrid w:val="0"/>
    </w:pPr>
  </w:style>
  <w:style w:type="character" w:customStyle="1" w:styleId="Char0">
    <w:name w:val="머리글 Char"/>
    <w:basedOn w:val="a0"/>
    <w:link w:val="a6"/>
    <w:uiPriority w:val="99"/>
    <w:rsid w:val="009976CC"/>
  </w:style>
  <w:style w:type="paragraph" w:styleId="a7">
    <w:name w:val="footer"/>
    <w:basedOn w:val="a"/>
    <w:link w:val="Char1"/>
    <w:uiPriority w:val="99"/>
    <w:unhideWhenUsed/>
    <w:rsid w:val="009976CC"/>
    <w:pPr>
      <w:tabs>
        <w:tab w:val="center" w:pos="4513"/>
        <w:tab w:val="right" w:pos="9026"/>
      </w:tabs>
      <w:snapToGrid w:val="0"/>
    </w:pPr>
  </w:style>
  <w:style w:type="character" w:customStyle="1" w:styleId="Char1">
    <w:name w:val="바닥글 Char"/>
    <w:basedOn w:val="a0"/>
    <w:link w:val="a7"/>
    <w:uiPriority w:val="99"/>
    <w:rsid w:val="00997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35716">
      <w:bodyDiv w:val="1"/>
      <w:marLeft w:val="0"/>
      <w:marRight w:val="0"/>
      <w:marTop w:val="0"/>
      <w:marBottom w:val="0"/>
      <w:divBdr>
        <w:top w:val="none" w:sz="0" w:space="0" w:color="auto"/>
        <w:left w:val="none" w:sz="0" w:space="0" w:color="auto"/>
        <w:bottom w:val="none" w:sz="0" w:space="0" w:color="auto"/>
        <w:right w:val="none" w:sz="0" w:space="0" w:color="auto"/>
      </w:divBdr>
    </w:div>
    <w:div w:id="192424022">
      <w:bodyDiv w:val="1"/>
      <w:marLeft w:val="0"/>
      <w:marRight w:val="0"/>
      <w:marTop w:val="0"/>
      <w:marBottom w:val="0"/>
      <w:divBdr>
        <w:top w:val="none" w:sz="0" w:space="0" w:color="auto"/>
        <w:left w:val="none" w:sz="0" w:space="0" w:color="auto"/>
        <w:bottom w:val="none" w:sz="0" w:space="0" w:color="auto"/>
        <w:right w:val="none" w:sz="0" w:space="0" w:color="auto"/>
      </w:divBdr>
    </w:div>
    <w:div w:id="1048258452">
      <w:bodyDiv w:val="1"/>
      <w:marLeft w:val="0"/>
      <w:marRight w:val="0"/>
      <w:marTop w:val="0"/>
      <w:marBottom w:val="0"/>
      <w:divBdr>
        <w:top w:val="none" w:sz="0" w:space="0" w:color="auto"/>
        <w:left w:val="none" w:sz="0" w:space="0" w:color="auto"/>
        <w:bottom w:val="none" w:sz="0" w:space="0" w:color="auto"/>
        <w:right w:val="none" w:sz="0" w:space="0" w:color="auto"/>
      </w:divBdr>
    </w:div>
    <w:div w:id="1062556368">
      <w:bodyDiv w:val="1"/>
      <w:marLeft w:val="0"/>
      <w:marRight w:val="0"/>
      <w:marTop w:val="0"/>
      <w:marBottom w:val="0"/>
      <w:divBdr>
        <w:top w:val="none" w:sz="0" w:space="0" w:color="auto"/>
        <w:left w:val="none" w:sz="0" w:space="0" w:color="auto"/>
        <w:bottom w:val="none" w:sz="0" w:space="0" w:color="auto"/>
        <w:right w:val="none" w:sz="0" w:space="0" w:color="auto"/>
      </w:divBdr>
    </w:div>
    <w:div w:id="1144203153">
      <w:bodyDiv w:val="1"/>
      <w:marLeft w:val="0"/>
      <w:marRight w:val="0"/>
      <w:marTop w:val="0"/>
      <w:marBottom w:val="0"/>
      <w:divBdr>
        <w:top w:val="none" w:sz="0" w:space="0" w:color="auto"/>
        <w:left w:val="none" w:sz="0" w:space="0" w:color="auto"/>
        <w:bottom w:val="none" w:sz="0" w:space="0" w:color="auto"/>
        <w:right w:val="none" w:sz="0" w:space="0" w:color="auto"/>
      </w:divBdr>
    </w:div>
    <w:div w:id="1807745685">
      <w:bodyDiv w:val="1"/>
      <w:marLeft w:val="0"/>
      <w:marRight w:val="0"/>
      <w:marTop w:val="0"/>
      <w:marBottom w:val="0"/>
      <w:divBdr>
        <w:top w:val="none" w:sz="0" w:space="0" w:color="auto"/>
        <w:left w:val="none" w:sz="0" w:space="0" w:color="auto"/>
        <w:bottom w:val="none" w:sz="0" w:space="0" w:color="auto"/>
        <w:right w:val="none" w:sz="0" w:space="0" w:color="auto"/>
      </w:divBdr>
    </w:div>
    <w:div w:id="2048796826">
      <w:bodyDiv w:val="1"/>
      <w:marLeft w:val="0"/>
      <w:marRight w:val="0"/>
      <w:marTop w:val="0"/>
      <w:marBottom w:val="0"/>
      <w:divBdr>
        <w:top w:val="none" w:sz="0" w:space="0" w:color="auto"/>
        <w:left w:val="none" w:sz="0" w:space="0" w:color="auto"/>
        <w:bottom w:val="none" w:sz="0" w:space="0" w:color="auto"/>
        <w:right w:val="none" w:sz="0" w:space="0" w:color="auto"/>
      </w:divBdr>
    </w:div>
    <w:div w:id="208649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416</Words>
  <Characters>2372</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32</cp:revision>
  <dcterms:created xsi:type="dcterms:W3CDTF">2023-10-12T08:26:00Z</dcterms:created>
  <dcterms:modified xsi:type="dcterms:W3CDTF">2023-10-14T04:57:00Z</dcterms:modified>
</cp:coreProperties>
</file>