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DC" w:rsidRPr="00290CDC" w:rsidRDefault="00290CDC" w:rsidP="00290CDC">
      <w:pPr>
        <w:rPr>
          <w:rFonts w:ascii="Arial" w:hAnsi="Arial" w:cs="Arial"/>
        </w:rPr>
      </w:pPr>
      <w:r w:rsidRPr="00290CDC">
        <w:rPr>
          <w:rFonts w:ascii="Arial" w:hAnsi="Arial" w:cs="Arial"/>
        </w:rPr>
        <w:t>If the entertainment expense limit exceeds the amount treated as entertainment expenses, etc. and there is entertainment expense in the asset account, how to handle the exc</w:t>
      </w:r>
      <w:r>
        <w:rPr>
          <w:rFonts w:ascii="Arial" w:hAnsi="Arial" w:cs="Arial"/>
        </w:rPr>
        <w:t>ess amount</w:t>
      </w:r>
      <w:r>
        <w:rPr>
          <w:rFonts w:ascii="Arial" w:hAnsi="Arial" w:cs="Arial" w:hint="eastAsia"/>
        </w:rPr>
        <w:t xml:space="preserve"> </w:t>
      </w:r>
      <w:r w:rsidRPr="00290CDC">
        <w:rPr>
          <w:rFonts w:ascii="Arial" w:hAnsi="Arial" w:cs="Arial" w:hint="eastAsia"/>
        </w:rPr>
        <w:t>※</w:t>
      </w:r>
      <w:r w:rsidRPr="00290CDC">
        <w:rPr>
          <w:rFonts w:ascii="Arial" w:hAnsi="Arial" w:cs="Arial"/>
        </w:rPr>
        <w:t xml:space="preserve"> In the case above, assuming that the amount exceeding the limit for entertainment expenses is KRW 172,000,000, the amount treated as entertainment expenses, etc., of KRW 162,000,000, will exceed KRW 10,000,000, and the following tax adjustment is required.</w:t>
      </w:r>
      <w:r>
        <w:rPr>
          <w:rFonts w:ascii="Arial" w:hAnsi="Arial" w:cs="Arial" w:hint="eastAsia"/>
        </w:rPr>
        <w:t xml:space="preserve"> </w:t>
      </w:r>
      <w:r>
        <w:rPr>
          <w:rFonts w:ascii="Arial" w:hAnsi="Arial" w:cs="Arial"/>
        </w:rPr>
        <w:t>Tax adjustment</w:t>
      </w:r>
      <w:r>
        <w:rPr>
          <w:rFonts w:ascii="Arial" w:hAnsi="Arial" w:cs="Arial" w:hint="eastAsia"/>
        </w:rPr>
        <w:t xml:space="preserve"> </w:t>
      </w:r>
      <w:r w:rsidRPr="00290CDC">
        <w:rPr>
          <w:rFonts w:ascii="Arial" w:hAnsi="Arial" w:cs="Arial" w:hint="eastAsia"/>
        </w:rPr>
        <w:t>•</w:t>
      </w:r>
      <w:r w:rsidRPr="00290CDC">
        <w:rPr>
          <w:rFonts w:ascii="Arial" w:hAnsi="Arial" w:cs="Arial"/>
        </w:rPr>
        <w:t xml:space="preserve"> 10,000,000 won is included in the building, which is an asset account, so the asset value is reduced in the order of assets under construction and fixed assets, and the amount is disposed of with reserved deductible.</w:t>
      </w:r>
      <w:r>
        <w:rPr>
          <w:rFonts w:ascii="Arial" w:hAnsi="Arial" w:cs="Arial" w:hint="eastAsia"/>
        </w:rPr>
        <w:t xml:space="preserve"> </w:t>
      </w:r>
      <w:r w:rsidRPr="00290CDC">
        <w:rPr>
          <w:rFonts w:ascii="Arial" w:hAnsi="Arial" w:cs="Arial" w:hint="eastAsia"/>
        </w:rPr>
        <w:t>•</w:t>
      </w:r>
      <w:r w:rsidRPr="00290CDC">
        <w:rPr>
          <w:rFonts w:ascii="Arial" w:hAnsi="Arial" w:cs="Arial"/>
        </w:rPr>
        <w:t xml:space="preserve"> The amount equivalent to the depreciation cost for the asset impairment treatment portion among the depreciation expenses for the current fiscal year of the building is disposed of as reserved, not included in deductible expenses, as follows.</w:t>
      </w:r>
      <w:r>
        <w:rPr>
          <w:rFonts w:ascii="Arial" w:hAnsi="Arial" w:cs="Arial" w:hint="eastAsia"/>
        </w:rPr>
        <w:t xml:space="preserve"> </w:t>
      </w:r>
      <w:r w:rsidRPr="00290CDC">
        <w:rPr>
          <w:rFonts w:ascii="Arial" w:hAnsi="Arial" w:cs="Arial" w:hint="eastAsia"/>
        </w:rPr>
        <w:t>→</w:t>
      </w:r>
      <w:r w:rsidRPr="00290CDC">
        <w:rPr>
          <w:rFonts w:ascii="Arial" w:hAnsi="Arial" w:cs="Arial"/>
        </w:rPr>
        <w:t xml:space="preserve"> When processing an asset reduction due to the initial denial of deductible for entertainment expenses, it is offset against the amount disposed of by retaining deductible.</w:t>
      </w:r>
      <w:r>
        <w:rPr>
          <w:rFonts w:ascii="Arial" w:hAnsi="Arial" w:cs="Arial" w:hint="eastAsia"/>
        </w:rPr>
        <w:t xml:space="preserve"> </w:t>
      </w:r>
      <w:r w:rsidRPr="00290CDC">
        <w:rPr>
          <w:rFonts w:ascii="Arial" w:hAnsi="Arial" w:cs="Arial"/>
        </w:rPr>
        <w:t>Amortization</w:t>
      </w:r>
      <w:r>
        <w:rPr>
          <w:rFonts w:ascii="Arial" w:hAnsi="Arial" w:cs="Arial" w:hint="eastAsia"/>
        </w:rPr>
        <w:t xml:space="preserve"> </w:t>
      </w:r>
      <w:r w:rsidRPr="00290CDC">
        <w:rPr>
          <w:rFonts w:ascii="Arial" w:hAnsi="Arial" w:cs="Arial"/>
        </w:rPr>
        <w:t>x</w:t>
      </w:r>
      <w:r w:rsidRPr="00290CDC">
        <w:rPr>
          <w:rFonts w:ascii="Arial" w:hAnsi="Arial" w:cs="Arial"/>
        </w:rPr>
        <w:tab/>
        <w:t>Asset write-down balance</w:t>
      </w:r>
      <w:r>
        <w:rPr>
          <w:rFonts w:ascii="Arial" w:hAnsi="Arial" w:cs="Arial" w:hint="eastAsia"/>
        </w:rPr>
        <w:t xml:space="preserve"> </w:t>
      </w:r>
      <w:r w:rsidRPr="00290CDC">
        <w:rPr>
          <w:rFonts w:ascii="Arial" w:hAnsi="Arial" w:cs="Arial"/>
        </w:rPr>
        <w:t>=</w:t>
      </w:r>
      <w:r>
        <w:rPr>
          <w:rFonts w:ascii="Arial" w:hAnsi="Arial" w:cs="Arial" w:hint="eastAsia"/>
        </w:rPr>
        <w:t xml:space="preserve"> </w:t>
      </w:r>
      <w:r w:rsidRPr="00290CDC">
        <w:rPr>
          <w:rFonts w:ascii="Arial" w:hAnsi="Arial" w:cs="Arial"/>
        </w:rPr>
        <w:t>Amount not included</w:t>
      </w:r>
      <w:r>
        <w:rPr>
          <w:rFonts w:ascii="Arial" w:hAnsi="Arial" w:cs="Arial" w:hint="eastAsia"/>
        </w:rPr>
        <w:t xml:space="preserve"> </w:t>
      </w:r>
      <w:r w:rsidRPr="00290CDC">
        <w:rPr>
          <w:rFonts w:ascii="Arial" w:hAnsi="Arial" w:cs="Arial"/>
        </w:rPr>
        <w:t>in loss amount</w:t>
      </w:r>
      <w:r>
        <w:rPr>
          <w:rFonts w:ascii="Arial" w:hAnsi="Arial" w:cs="Arial" w:hint="eastAsia"/>
        </w:rPr>
        <w:t xml:space="preserve"> </w:t>
      </w:r>
      <w:r w:rsidRPr="00290CDC">
        <w:rPr>
          <w:rFonts w:ascii="Arial" w:hAnsi="Arial" w:cs="Arial"/>
        </w:rPr>
        <w:t>Building (bo</w:t>
      </w:r>
      <w:r>
        <w:rPr>
          <w:rFonts w:ascii="Arial" w:hAnsi="Arial" w:cs="Arial"/>
        </w:rPr>
        <w:t>ok value before depreciation)</w:t>
      </w:r>
      <w:r>
        <w:rPr>
          <w:rFonts w:ascii="Arial" w:hAnsi="Arial" w:cs="Arial" w:hint="eastAsia"/>
        </w:rPr>
        <w:t xml:space="preserve"> </w:t>
      </w:r>
      <w:r w:rsidRPr="00290CDC">
        <w:rPr>
          <w:rFonts w:ascii="Arial" w:hAnsi="Arial" w:cs="Arial"/>
        </w:rPr>
        <w:t>- Calculate the amount not included in loss amount among building depreciation costs</w:t>
      </w:r>
      <w:r>
        <w:rPr>
          <w:rFonts w:ascii="Arial" w:hAnsi="Arial" w:cs="Arial" w:hint="eastAsia"/>
        </w:rPr>
        <w:t xml:space="preserve"> </w:t>
      </w:r>
      <w:r>
        <w:rPr>
          <w:rFonts w:ascii="Arial" w:hAnsi="Arial" w:cs="Arial"/>
        </w:rPr>
        <w:t>(Current year)</w:t>
      </w:r>
      <w:r>
        <w:rPr>
          <w:rFonts w:ascii="Arial" w:hAnsi="Arial" w:cs="Arial" w:hint="eastAsia"/>
        </w:rPr>
        <w:t xml:space="preserve"> </w:t>
      </w:r>
      <w:r w:rsidRPr="00290CDC">
        <w:rPr>
          <w:rFonts w:ascii="Arial" w:hAnsi="Arial" w:cs="Arial"/>
        </w:rPr>
        <w:t>40,000,000</w:t>
      </w:r>
      <w:r>
        <w:rPr>
          <w:rFonts w:ascii="Arial" w:hAnsi="Arial" w:cs="Arial" w:hint="eastAsia"/>
        </w:rPr>
        <w:t xml:space="preserve"> </w:t>
      </w:r>
      <w:r w:rsidRPr="00290CDC">
        <w:rPr>
          <w:rFonts w:ascii="Arial" w:hAnsi="Arial" w:cs="Arial"/>
        </w:rPr>
        <w:t>x10,000,000</w:t>
      </w:r>
      <w:r>
        <w:rPr>
          <w:rFonts w:ascii="Arial" w:hAnsi="Arial" w:cs="Arial" w:hint="eastAsia"/>
        </w:rPr>
        <w:t xml:space="preserve"> </w:t>
      </w:r>
      <w:r w:rsidRPr="00290CDC">
        <w:rPr>
          <w:rFonts w:ascii="Arial" w:hAnsi="Arial" w:cs="Arial"/>
        </w:rPr>
        <w:t>=</w:t>
      </w:r>
      <w:r>
        <w:rPr>
          <w:rFonts w:ascii="Arial" w:hAnsi="Arial" w:cs="Arial" w:hint="eastAsia"/>
        </w:rPr>
        <w:t xml:space="preserve"> </w:t>
      </w:r>
      <w:r w:rsidRPr="00290CDC">
        <w:rPr>
          <w:rFonts w:ascii="Arial" w:hAnsi="Arial" w:cs="Arial"/>
        </w:rPr>
        <w:t>100,000</w:t>
      </w:r>
      <w:r>
        <w:rPr>
          <w:rFonts w:ascii="Arial" w:hAnsi="Arial" w:cs="Arial" w:hint="eastAsia"/>
        </w:rPr>
        <w:t xml:space="preserve"> </w:t>
      </w:r>
      <w:r w:rsidRPr="00290CDC">
        <w:rPr>
          <w:rFonts w:ascii="Arial" w:hAnsi="Arial" w:cs="Arial"/>
        </w:rPr>
        <w:t>Not included in loss amount (reserved)</w:t>
      </w:r>
      <w:r>
        <w:rPr>
          <w:rFonts w:ascii="Arial" w:hAnsi="Arial" w:cs="Arial" w:hint="eastAsia"/>
        </w:rPr>
        <w:t xml:space="preserve"> </w:t>
      </w:r>
      <w:r w:rsidRPr="00290CDC">
        <w:rPr>
          <w:rFonts w:ascii="Arial" w:hAnsi="Arial" w:cs="Arial"/>
        </w:rPr>
        <w:t>4,000,000,000</w:t>
      </w:r>
      <w:r>
        <w:rPr>
          <w:rFonts w:ascii="Arial" w:hAnsi="Arial" w:cs="Arial" w:hint="eastAsia"/>
        </w:rPr>
        <w:t xml:space="preserve"> </w:t>
      </w:r>
      <w:r w:rsidRPr="00290CDC">
        <w:rPr>
          <w:rFonts w:ascii="Arial" w:hAnsi="Arial" w:cs="Arial"/>
        </w:rPr>
        <w:t>(2nd year)</w:t>
      </w:r>
      <w:r>
        <w:rPr>
          <w:rFonts w:ascii="Arial" w:hAnsi="Arial" w:cs="Arial" w:hint="eastAsia"/>
        </w:rPr>
        <w:t xml:space="preserve"> </w:t>
      </w:r>
      <w:r w:rsidRPr="00290CDC">
        <w:rPr>
          <w:rFonts w:ascii="Arial" w:hAnsi="Arial" w:cs="Arial"/>
        </w:rPr>
        <w:t>40,000,000 x</w:t>
      </w:r>
      <w:r>
        <w:rPr>
          <w:rFonts w:ascii="Arial" w:hAnsi="Arial" w:cs="Arial" w:hint="eastAsia"/>
        </w:rPr>
        <w:t xml:space="preserve"> </w:t>
      </w:r>
      <w:r w:rsidRPr="00290CDC">
        <w:rPr>
          <w:rFonts w:ascii="Arial" w:hAnsi="Arial" w:cs="Arial"/>
        </w:rPr>
        <w:t>9,900,000</w:t>
      </w:r>
      <w:r>
        <w:rPr>
          <w:rFonts w:ascii="Arial" w:hAnsi="Arial" w:cs="Arial" w:hint="eastAsia"/>
        </w:rPr>
        <w:t xml:space="preserve"> </w:t>
      </w:r>
      <w:r w:rsidRPr="00290CDC">
        <w:rPr>
          <w:rFonts w:ascii="Arial" w:hAnsi="Arial" w:cs="Arial"/>
        </w:rPr>
        <w:t>=</w:t>
      </w:r>
      <w:r>
        <w:rPr>
          <w:rFonts w:ascii="Arial" w:hAnsi="Arial" w:cs="Arial" w:hint="eastAsia"/>
        </w:rPr>
        <w:t xml:space="preserve"> </w:t>
      </w:r>
      <w:r w:rsidRPr="00290CDC">
        <w:rPr>
          <w:rFonts w:ascii="Arial" w:hAnsi="Arial" w:cs="Arial"/>
        </w:rPr>
        <w:t>100,000</w:t>
      </w:r>
      <w:r>
        <w:rPr>
          <w:rFonts w:ascii="Arial" w:hAnsi="Arial" w:cs="Arial" w:hint="eastAsia"/>
        </w:rPr>
        <w:t xml:space="preserve"> </w:t>
      </w:r>
      <w:r w:rsidRPr="00290CDC">
        <w:rPr>
          <w:rFonts w:ascii="Arial" w:hAnsi="Arial" w:cs="Arial"/>
        </w:rPr>
        <w:t>Not included in loss amount (reserved)</w:t>
      </w:r>
      <w:r>
        <w:rPr>
          <w:rFonts w:ascii="Arial" w:hAnsi="Arial" w:cs="Arial" w:hint="eastAsia"/>
        </w:rPr>
        <w:t xml:space="preserve"> </w:t>
      </w:r>
      <w:r w:rsidRPr="00290CDC">
        <w:rPr>
          <w:rFonts w:ascii="Arial" w:hAnsi="Arial" w:cs="Arial"/>
        </w:rPr>
        <w:t>3,960,000,000</w:t>
      </w:r>
      <w:r>
        <w:rPr>
          <w:rFonts w:ascii="Arial" w:hAnsi="Arial" w:cs="Arial" w:hint="eastAsia"/>
        </w:rPr>
        <w:t xml:space="preserve"> </w:t>
      </w:r>
      <w:bookmarkStart w:id="0" w:name="_GoBack"/>
      <w:bookmarkEnd w:id="0"/>
      <w:r w:rsidRPr="00290CDC">
        <w:rPr>
          <w:rFonts w:ascii="Arial" w:hAnsi="Arial" w:cs="Arial"/>
        </w:rPr>
        <w:t>(Calculated in the same way after the 3rd year and not included in the loss amount)</w:t>
      </w:r>
    </w:p>
    <w:p w:rsidR="00290CDC" w:rsidRPr="00290CDC" w:rsidRDefault="00290CDC" w:rsidP="00290CDC">
      <w:pPr>
        <w:rPr>
          <w:rFonts w:ascii="Arial" w:hAnsi="Arial" w:cs="Arial"/>
        </w:rPr>
      </w:pPr>
    </w:p>
    <w:p w:rsidR="00025926" w:rsidRPr="00290CDC" w:rsidRDefault="00025926" w:rsidP="00290CDC"/>
    <w:sectPr w:rsidR="00025926" w:rsidRPr="00290CDC" w:rsidSect="00422AB3">
      <w:pgSz w:w="11907" w:h="19845"/>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A11" w:rsidRDefault="00D95A11" w:rsidP="009976CC">
      <w:pPr>
        <w:spacing w:after="0" w:line="240" w:lineRule="auto"/>
      </w:pPr>
      <w:r>
        <w:separator/>
      </w:r>
    </w:p>
  </w:endnote>
  <w:endnote w:type="continuationSeparator" w:id="0">
    <w:p w:rsidR="00D95A11" w:rsidRDefault="00D95A11" w:rsidP="0099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A11" w:rsidRDefault="00D95A11" w:rsidP="009976CC">
      <w:pPr>
        <w:spacing w:after="0" w:line="240" w:lineRule="auto"/>
      </w:pPr>
      <w:r>
        <w:separator/>
      </w:r>
    </w:p>
  </w:footnote>
  <w:footnote w:type="continuationSeparator" w:id="0">
    <w:p w:rsidR="00D95A11" w:rsidRDefault="00D95A11" w:rsidP="00997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25926"/>
    <w:rsid w:val="000409C5"/>
    <w:rsid w:val="000E5BB2"/>
    <w:rsid w:val="0011506E"/>
    <w:rsid w:val="001665D2"/>
    <w:rsid w:val="001A0DCD"/>
    <w:rsid w:val="001F4B9E"/>
    <w:rsid w:val="0020133F"/>
    <w:rsid w:val="00204C96"/>
    <w:rsid w:val="00227AB6"/>
    <w:rsid w:val="002433BC"/>
    <w:rsid w:val="00290CDC"/>
    <w:rsid w:val="002A1BA0"/>
    <w:rsid w:val="003855DD"/>
    <w:rsid w:val="00413D77"/>
    <w:rsid w:val="00422AB3"/>
    <w:rsid w:val="00427C5C"/>
    <w:rsid w:val="004B066F"/>
    <w:rsid w:val="0059423F"/>
    <w:rsid w:val="005B0442"/>
    <w:rsid w:val="006123F4"/>
    <w:rsid w:val="006226B7"/>
    <w:rsid w:val="006B12E5"/>
    <w:rsid w:val="00783CCC"/>
    <w:rsid w:val="007D7D9E"/>
    <w:rsid w:val="00815280"/>
    <w:rsid w:val="00817A89"/>
    <w:rsid w:val="008A099D"/>
    <w:rsid w:val="009976CC"/>
    <w:rsid w:val="009F2FDB"/>
    <w:rsid w:val="00A41576"/>
    <w:rsid w:val="00A84C0F"/>
    <w:rsid w:val="00B90822"/>
    <w:rsid w:val="00BA72E0"/>
    <w:rsid w:val="00BD37E2"/>
    <w:rsid w:val="00CB00CB"/>
    <w:rsid w:val="00D40FF9"/>
    <w:rsid w:val="00D54ADE"/>
    <w:rsid w:val="00D759FB"/>
    <w:rsid w:val="00D95A11"/>
    <w:rsid w:val="00DD1603"/>
    <w:rsid w:val="00E27501"/>
    <w:rsid w:val="00E52AC5"/>
    <w:rsid w:val="00E62937"/>
    <w:rsid w:val="00EB28DA"/>
    <w:rsid w:val="00ED5884"/>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92424022">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469317321">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48796826">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236</Words>
  <Characters>1347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2023-10-12T08:26:00Z</dcterms:created>
  <dcterms:modified xsi:type="dcterms:W3CDTF">2023-10-14T05:25:00Z</dcterms:modified>
</cp:coreProperties>
</file>