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B622F4" w:rsidRDefault="00B622F4" w:rsidP="00B622F4">
      <w:bookmarkStart w:id="0" w:name="_GoBack"/>
      <w:bookmarkEnd w:id="0"/>
      <w:r w:rsidRPr="00B622F4">
        <w:rPr>
          <w:rFonts w:ascii="Arial" w:hAnsi="Arial" w:cs="Arial"/>
        </w:rPr>
        <w:t>(Page 2 of 3)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3. Depreciation cost (equivalent amount) carried forward statement exceeding the limit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㉟</w:t>
      </w:r>
      <w:r w:rsidRPr="00B622F4">
        <w:rPr>
          <w:rFonts w:ascii="Arial" w:hAnsi="Arial" w:cs="Arial"/>
        </w:rPr>
        <w:t>Vehicle number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㊱</w:t>
      </w:r>
      <w:r w:rsidRPr="00B622F4">
        <w:rPr>
          <w:rFonts w:ascii="Arial" w:hAnsi="Arial" w:cs="Arial"/>
        </w:rPr>
        <w:t>Car model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㊲</w:t>
      </w:r>
      <w:r w:rsidRPr="00B622F4">
        <w:rPr>
          <w:rFonts w:ascii="Arial" w:hAnsi="Arial" w:cs="Arial"/>
        </w:rPr>
        <w:t>Acquisition date(lease period)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㊳</w:t>
      </w:r>
      <w:r w:rsidRPr="00B622F4">
        <w:rPr>
          <w:rFonts w:ascii="Arial" w:hAnsi="Arial" w:cs="Arial"/>
        </w:rPr>
        <w:t>carryover amount in previous term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㊴</w:t>
      </w:r>
      <w:r w:rsidRPr="00B622F4">
        <w:rPr>
          <w:rFonts w:ascii="Arial" w:hAnsi="Arial" w:cs="Arial"/>
        </w:rPr>
        <w:t>Depreciation expense (equivalent amount) for the current period exceeds the limit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㊵</w:t>
      </w:r>
      <w:r w:rsidRPr="00B622F4">
        <w:rPr>
          <w:rFonts w:ascii="Arial" w:hAnsi="Arial" w:cs="Arial"/>
        </w:rPr>
        <w:t>Cumulative amount exceeding the depreciation expense (equivalent amount) limit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㊶</w:t>
      </w:r>
      <w:r w:rsidRPr="00B622F4">
        <w:rPr>
          <w:rFonts w:ascii="Arial" w:hAnsi="Arial" w:cs="Arial"/>
        </w:rPr>
        <w:t>Palm tax deduction (included) amount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㊷</w:t>
      </w:r>
      <w:r w:rsidRPr="00B622F4">
        <w:rPr>
          <w:rFonts w:ascii="Arial" w:hAnsi="Arial" w:cs="Arial"/>
        </w:rPr>
        <w:t>Carryover amount (</w:t>
      </w:r>
      <w:r w:rsidRPr="00B622F4">
        <w:rPr>
          <w:rFonts w:ascii="Microsoft YaHei" w:eastAsia="Microsoft YaHei" w:hAnsi="Microsoft YaHei" w:cs="Microsoft YaHei" w:hint="eastAsia"/>
        </w:rPr>
        <w:t>㊵</w:t>
      </w:r>
      <w:r w:rsidRPr="00B622F4">
        <w:rPr>
          <w:rFonts w:ascii="Arial" w:hAnsi="Arial" w:cs="Arial"/>
        </w:rPr>
        <w:t>-</w:t>
      </w:r>
      <w:r w:rsidRPr="00B622F4">
        <w:rPr>
          <w:rFonts w:ascii="Microsoft YaHei" w:eastAsia="Microsoft YaHei" w:hAnsi="Microsoft YaHei" w:cs="Microsoft YaHei" w:hint="eastAsia"/>
        </w:rPr>
        <w:t>㊶</w:t>
      </w:r>
      <w:r w:rsidRPr="00B622F4">
        <w:rPr>
          <w:rFonts w:ascii="Arial" w:hAnsi="Arial" w:cs="Arial"/>
        </w:rPr>
        <w:t>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㊸</w:t>
      </w:r>
      <w:r w:rsidRPr="00B622F4">
        <w:rPr>
          <w:rFonts w:ascii="Arial" w:hAnsi="Arial" w:cs="Arial"/>
        </w:rPr>
        <w:t>Total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4. Calculation of loss on disposal of business vehicle and amount not included as deductible in excess of limit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㊹</w:t>
      </w:r>
      <w:r w:rsidRPr="00B622F4">
        <w:rPr>
          <w:rFonts w:ascii="Arial" w:hAnsi="Arial" w:cs="Arial"/>
        </w:rPr>
        <w:t>Vehicle number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㊺</w:t>
      </w:r>
      <w:r w:rsidRPr="00B622F4">
        <w:rPr>
          <w:rFonts w:ascii="Arial" w:hAnsi="Arial" w:cs="Arial"/>
        </w:rPr>
        <w:t>Transfer price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㊻</w:t>
      </w:r>
      <w:r w:rsidRPr="00B622F4">
        <w:rPr>
          <w:rFonts w:ascii="Arial" w:hAnsi="Arial" w:cs="Arial"/>
        </w:rPr>
        <w:t>Loss on disposal of book value for tax purposes (</w:t>
      </w:r>
      <w:r w:rsidRPr="00B622F4">
        <w:rPr>
          <w:rFonts w:ascii="Microsoft YaHei" w:eastAsia="Microsoft YaHei" w:hAnsi="Microsoft YaHei" w:cs="Microsoft YaHei" w:hint="eastAsia"/>
        </w:rPr>
        <w:t>㊺</w:t>
      </w:r>
      <w:r w:rsidRPr="00B622F4">
        <w:rPr>
          <w:rFonts w:ascii="Arial" w:hAnsi="Arial" w:cs="Arial"/>
        </w:rPr>
        <w:t>-</w:t>
      </w:r>
      <w:r w:rsidRPr="00B622F4">
        <w:rPr>
          <w:rFonts w:ascii="Microsoft YaHei" w:eastAsia="Microsoft YaHei" w:hAnsi="Microsoft YaHei" w:cs="Microsoft YaHei" w:hint="eastAsia"/>
        </w:rPr>
        <w:t>㊿</w:t>
      </w:r>
      <w:r w:rsidRPr="00B622F4">
        <w:rPr>
          <w:rFonts w:ascii="Arial" w:hAnsi="Arial" w:cs="Arial"/>
        </w:rPr>
        <w:t>&lt;0) Amount included in current loss, amount exceeding limit not included in loss (-)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51 disposal loss (45-50&lt;0)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52 Amount included in current loss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Amount exceeding the limit is not included in deductible (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51-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52)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㊼</w:t>
      </w:r>
      <w:r w:rsidRPr="00B622F4">
        <w:rPr>
          <w:rFonts w:ascii="Arial" w:hAnsi="Arial" w:cs="Arial"/>
        </w:rPr>
        <w:t>Acquisition price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㊽</w:t>
      </w:r>
      <w:r w:rsidRPr="00B622F4">
        <w:rPr>
          <w:rFonts w:ascii="Arial" w:hAnsi="Arial" w:cs="Arial"/>
        </w:rPr>
        <w:t>Depreciation expense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㊾</w:t>
      </w:r>
      <w:r w:rsidRPr="00B622F4">
        <w:rPr>
          <w:rFonts w:ascii="Arial" w:hAnsi="Arial" w:cs="Arial"/>
        </w:rPr>
        <w:t>Cumulative amount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Amount carried forward in excess of depreciation limit (=</w:t>
      </w:r>
      <w:r w:rsidRPr="00B622F4">
        <w:rPr>
          <w:rFonts w:ascii="Microsoft YaHei" w:eastAsia="Microsoft YaHei" w:hAnsi="Microsoft YaHei" w:cs="Microsoft YaHei" w:hint="eastAsia"/>
        </w:rPr>
        <w:t>㊷</w:t>
      </w:r>
      <w:r w:rsidRPr="00B622F4">
        <w:rPr>
          <w:rFonts w:ascii="Arial" w:hAnsi="Arial" w:cs="Arial"/>
        </w:rPr>
        <w:t>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Microsoft YaHei" w:eastAsia="Microsoft YaHei" w:hAnsi="Microsoft YaHei" w:cs="Microsoft YaHei" w:hint="eastAsia"/>
        </w:rPr>
        <w:t>㊿</w:t>
      </w:r>
      <w:r w:rsidRPr="00B622F4">
        <w:rPr>
          <w:rFonts w:ascii="Arial" w:hAnsi="Arial" w:cs="Arial"/>
        </w:rPr>
        <w:t>Total(</w:t>
      </w:r>
      <w:r w:rsidRPr="00B622F4">
        <w:rPr>
          <w:rFonts w:ascii="Microsoft YaHei" w:eastAsia="Microsoft YaHei" w:hAnsi="Microsoft YaHei" w:cs="Microsoft YaHei" w:hint="eastAsia"/>
        </w:rPr>
        <w:t>㊼</w:t>
      </w:r>
      <w:r w:rsidRPr="00B622F4">
        <w:rPr>
          <w:rFonts w:ascii="Arial" w:hAnsi="Arial" w:cs="Arial"/>
        </w:rPr>
        <w:t>-</w:t>
      </w:r>
      <w:r w:rsidRPr="00B622F4">
        <w:rPr>
          <w:rFonts w:ascii="Microsoft YaHei" w:eastAsia="Microsoft YaHei" w:hAnsi="Microsoft YaHei" w:cs="Microsoft YaHei" w:hint="eastAsia"/>
        </w:rPr>
        <w:t>㊽</w:t>
      </w:r>
      <w:r w:rsidRPr="00B622F4">
        <w:rPr>
          <w:rFonts w:ascii="Arial" w:hAnsi="Arial" w:cs="Arial"/>
        </w:rPr>
        <w:t>+</w:t>
      </w:r>
      <w:r w:rsidRPr="00B622F4">
        <w:rPr>
          <w:rFonts w:ascii="Microsoft YaHei" w:eastAsia="Microsoft YaHei" w:hAnsi="Microsoft YaHei" w:cs="Microsoft YaHei" w:hint="eastAsia"/>
        </w:rPr>
        <w:t>㊾</w:t>
      </w:r>
      <w:r w:rsidRPr="00B622F4">
        <w:rPr>
          <w:rFonts w:ascii="Arial" w:hAnsi="Arial" w:cs="Arial"/>
        </w:rPr>
        <w:t>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54 Total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5. Statement of carryover amount exceeding the limit of loss on disposal of business passenger vehicle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55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the car's number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56 Car type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57 Disposal date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58 carryover amount from previous period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59 Deductible amount included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60 Carryover amount (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58-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59)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Cambria Math" w:hAnsi="Cambria Math" w:cs="Cambria Math"/>
        </w:rPr>
        <w:t>◯</w:t>
      </w:r>
      <w:r w:rsidRPr="00B622F4">
        <w:rPr>
          <w:rFonts w:ascii="Arial" w:hAnsi="Arial" w:cs="Arial"/>
        </w:rPr>
        <w:t>61 Total</w:t>
      </w:r>
      <w:r w:rsidR="00DE32B1">
        <w:rPr>
          <w:rFonts w:ascii="Arial" w:hAnsi="Arial" w:cs="Arial"/>
        </w:rPr>
        <w:t xml:space="preserve"> </w:t>
      </w:r>
      <w:r w:rsidRPr="00B622F4">
        <w:rPr>
          <w:rFonts w:ascii="Arial" w:hAnsi="Arial" w:cs="Arial"/>
        </w:rPr>
        <w:t>210mm×297mm [white paper 80g/</w:t>
      </w:r>
      <w:r w:rsidRPr="00B622F4">
        <w:rPr>
          <w:rFonts w:ascii="Arial" w:hAnsi="Arial" w:cs="Arial"/>
        </w:rPr>
        <w:t>㎡</w:t>
      </w:r>
      <w:r w:rsidRPr="00B622F4">
        <w:rPr>
          <w:rFonts w:ascii="Arial" w:hAnsi="Arial" w:cs="Arial"/>
        </w:rPr>
        <w:t xml:space="preserve"> or heavy paper 80g/</w:t>
      </w:r>
      <w:r w:rsidRPr="00B622F4">
        <w:rPr>
          <w:rFonts w:ascii="Arial" w:hAnsi="Arial" w:cs="Arial"/>
        </w:rPr>
        <w:t>㎡</w:t>
      </w:r>
      <w:r w:rsidRPr="00B622F4">
        <w:rPr>
          <w:rFonts w:ascii="Arial" w:hAnsi="Arial" w:cs="Arial"/>
        </w:rPr>
        <w:t>]</w:t>
      </w:r>
      <w:r w:rsidR="00DE32B1">
        <w:t xml:space="preserve"> </w:t>
      </w:r>
    </w:p>
    <w:sectPr w:rsidR="00040D4D" w:rsidRPr="00B62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179" w:rsidRDefault="00001179" w:rsidP="00040D4D">
      <w:pPr>
        <w:spacing w:after="0" w:line="240" w:lineRule="auto"/>
      </w:pPr>
      <w:r>
        <w:separator/>
      </w:r>
    </w:p>
  </w:endnote>
  <w:endnote w:type="continuationSeparator" w:id="0">
    <w:p w:rsidR="00001179" w:rsidRDefault="00001179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179" w:rsidRDefault="00001179" w:rsidP="00040D4D">
      <w:pPr>
        <w:spacing w:after="0" w:line="240" w:lineRule="auto"/>
      </w:pPr>
      <w:r>
        <w:separator/>
      </w:r>
    </w:p>
  </w:footnote>
  <w:footnote w:type="continuationSeparator" w:id="0">
    <w:p w:rsidR="00001179" w:rsidRDefault="00001179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01179"/>
    <w:rsid w:val="00040D4D"/>
    <w:rsid w:val="00050FB8"/>
    <w:rsid w:val="001E5679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AC5361"/>
    <w:rsid w:val="00B622F4"/>
    <w:rsid w:val="00C4005D"/>
    <w:rsid w:val="00D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2023-10-14T06:21:00Z</dcterms:created>
  <dcterms:modified xsi:type="dcterms:W3CDTF">2023-10-14T06:21:00Z</dcterms:modified>
</cp:coreProperties>
</file>