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E9FD" w14:textId="095CCD74" w:rsidR="002B7CA7" w:rsidRDefault="002B7CA7">
      <w:r>
        <w:t xml:space="preserve">소득처분 구조 손익계산서상 당기순이익 ＋ </w:t>
      </w:r>
      <w:proofErr w:type="spellStart"/>
      <w:r>
        <w:t>익금산입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－ </w:t>
      </w:r>
      <w:proofErr w:type="spellStart"/>
      <w:r>
        <w:t>익금불산입</w:t>
      </w:r>
      <w:proofErr w:type="spellEnd"/>
      <w:r>
        <w:t xml:space="preserve"> </w:t>
      </w:r>
      <w:proofErr w:type="spellStart"/>
      <w:r>
        <w:t>손금산입</w:t>
      </w:r>
      <w:proofErr w:type="spellEnd"/>
      <w:r>
        <w:t xml:space="preserve"> ＝ 각사업연도 소득 </w:t>
      </w:r>
      <w:r>
        <w:rPr>
          <w:rFonts w:ascii="MS Gothic" w:eastAsia="MS Gothic" w:hAnsi="MS Gothic" w:cs="MS Gothic" w:hint="eastAsia"/>
        </w:rPr>
        <w:t>⇓</w:t>
      </w:r>
      <w:r>
        <w:t xml:space="preserve"> 소득처분 유보 사외유출 기타 귀속 분명 귀속 불분명 상여 배당 기타소득 </w:t>
      </w:r>
      <w:proofErr w:type="spellStart"/>
      <w:r>
        <w:t>기타사외유출</w:t>
      </w:r>
      <w:proofErr w:type="spellEnd"/>
      <w:r>
        <w:t xml:space="preserve"> 대표자 상여 </w:t>
      </w:r>
      <w:proofErr w:type="spellStart"/>
      <w:r>
        <w:t>법인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개인</w:t>
      </w:r>
      <w:proofErr w:type="spellEnd"/>
      <w:r>
        <w:t xml:space="preserve"> 사업소득구성 법정 사외유출(법령§106ⓛ3)</w:t>
      </w:r>
    </w:p>
    <w:sectPr w:rsidR="002B7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7"/>
    <w:rsid w:val="002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C0B"/>
  <w15:chartTrackingRefBased/>
  <w15:docId w15:val="{F52A2B9D-2D4D-4C3B-BEF5-285C8D5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2023-09-20T17:31:00Z</dcterms:created>
  <dcterms:modified xsi:type="dcterms:W3CDTF">2023-09-20T17:31:00Z</dcterms:modified>
</cp:coreProperties>
</file>