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4010" w14:textId="466170C9" w:rsidR="00297425" w:rsidRPr="007C181D" w:rsidRDefault="007C181D" w:rsidP="007C181D">
      <w:r>
        <w:t>각사업연도소득 － ① 이월결손금 ② 비과세소득 ③ 소득공제액 ＝ 과세표준 ☞ ① → ② → ③ 순서로 공제액을 계산(</w:t>
      </w:r>
      <w:proofErr w:type="spellStart"/>
      <w:r>
        <w:t>법법</w:t>
      </w:r>
      <w:proofErr w:type="spellEnd"/>
      <w:r>
        <w:t>§13)</w:t>
      </w:r>
    </w:p>
    <w:sectPr w:rsidR="00297425" w:rsidRPr="007C18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25"/>
    <w:rsid w:val="00297425"/>
    <w:rsid w:val="007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3775"/>
  <w15:chartTrackingRefBased/>
  <w15:docId w15:val="{51A055F3-33FB-4B2D-B6C4-62B21FDD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2023-09-26T06:19:00Z</dcterms:created>
  <dcterms:modified xsi:type="dcterms:W3CDTF">2023-09-26T06:19:00Z</dcterms:modified>
</cp:coreProperties>
</file>