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3F2B" w14:textId="4470EEE9" w:rsidR="00AD1020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Domestic corporation pays Applicable to foreign corporations To x income for the fiscal year Korean corporate tax amount </w:t>
      </w:r>
      <w:r w:rsidR="00BC69E5">
        <w:rPr>
          <w:rFonts w:ascii="맑은 고딕" w:eastAsia="맑은 고딕" w:hAnsi="맑은 고딕" w:cs="맑은 고딕" w:hint="eastAsia"/>
        </w:rPr>
        <w:t>x</w:t>
      </w:r>
      <w:r w:rsidR="00BC69E5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 xml:space="preserve">income dividends </w:t>
      </w:r>
      <w:r w:rsidR="00134873"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/>
        </w:rPr>
        <w:t>Income amount of foreign corporation for the relevant year × Profit and loss distribution ratio of domestic corporations for the relevant fiscal year － Corporate tax on the income of a foreign corporation for the relevant fiscal year borne by a domestic corporation</w:t>
      </w:r>
    </w:p>
    <w:sectPr w:rsidR="00AD1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020"/>
    <w:rsid w:val="00134873"/>
    <w:rsid w:val="00763322"/>
    <w:rsid w:val="00AD1020"/>
    <w:rsid w:val="00B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3F2A"/>
  <w15:docId w15:val="{90F9873E-B0E6-4232-9440-F95F908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4</cp:revision>
  <dcterms:created xsi:type="dcterms:W3CDTF">2023-10-13T23:10:00Z</dcterms:created>
  <dcterms:modified xsi:type="dcterms:W3CDTF">2023-10-13T23:12:00Z</dcterms:modified>
</cp:coreProperties>
</file>