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8A31C" w14:textId="43B40CD6" w:rsidR="00E64106" w:rsidRDefault="00F755A5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Calculated tax amount under Act </w:t>
      </w:r>
      <w:r>
        <w:rPr>
          <w:rFonts w:ascii="맑은 고딕" w:eastAsia="맑은 고딕" w:hAnsi="맑은 고딕" w:cs="맑은 고딕"/>
        </w:rPr>
        <w:t>§55 + Section 3 of Act §75 Additional tax amount from §47-2 to §47-5 of  the Framework Act on National Taxes</w:t>
      </w:r>
      <w:r>
        <w:rPr>
          <w:rFonts w:ascii="맑은 고딕" w:eastAsia="맑은 고딕" w:hAnsi="맑은 고딕" w:cs="맑은 고딕"/>
        </w:rPr>
        <w:t>－</w:t>
      </w:r>
      <w:r>
        <w:rPr>
          <w:rFonts w:ascii="맑은 고딕" w:eastAsia="맑은 고딕" w:hAnsi="맑은 고딕" w:cs="맑은 고딕"/>
        </w:rPr>
        <w:t xml:space="preserve">Tax deductions and exemptions under other laws x Value of assets lost due to disaster / </w:t>
      </w:r>
      <w:r>
        <w:rPr>
          <w:rFonts w:ascii="맑은 고딕" w:eastAsia="맑은 고딕" w:hAnsi="맑은 고딕" w:cs="맑은 고딕"/>
        </w:rPr>
        <w:t xml:space="preserve">Total business assets before loss  </w:t>
      </w:r>
      <w:r>
        <w:rPr>
          <w:rFonts w:ascii="맑은 고딕" w:eastAsia="맑은 고딕" w:hAnsi="맑은 고딕" w:cs="맑은 고딕"/>
        </w:rPr>
        <w:t xml:space="preserve"> * Deductible tax amount is </w:t>
      </w:r>
      <w:r>
        <w:rPr>
          <w:rFonts w:ascii="맑은 고딕" w:eastAsia="맑은 고딕" w:hAnsi="맑은 고딕" w:cs="맑은 고딕"/>
        </w:rPr>
        <w:t>limited to the amount of lost assets</w:t>
      </w:r>
    </w:p>
    <w:sectPr w:rsidR="00E641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4106"/>
    <w:rsid w:val="00E64106"/>
    <w:rsid w:val="00F7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8A31C"/>
  <w15:docId w15:val="{A01D1777-66A5-4B4D-B6A9-8C3613C15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jeong seon park</cp:lastModifiedBy>
  <cp:revision>2</cp:revision>
  <dcterms:created xsi:type="dcterms:W3CDTF">2023-10-13T23:20:00Z</dcterms:created>
  <dcterms:modified xsi:type="dcterms:W3CDTF">2023-10-13T23:20:00Z</dcterms:modified>
</cp:coreProperties>
</file>