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line="276" w:lineRule="auto"/>
        <w:jc w:val="left"/>
        <w:rPr/>
      </w:pPr>
      <w:r w:rsidDel="00000000" w:rsidR="00000000" w:rsidRPr="00000000">
        <w:rPr>
          <w:rtl w:val="0"/>
        </w:rPr>
        <w:t xml:space="preserve">Division  Scope of exempt/reduced income Method of exemption/reduction ⑤Corporate tax reduction for introduction of public loans (Article 20 of the Special Provisions Act)</w:t>
      </w:r>
    </w:p>
    <w:p w:rsidR="00000000" w:rsidDel="00000000" w:rsidP="00000000" w:rsidRDefault="00000000" w:rsidRPr="00000000" w14:paraId="00000002">
      <w:pPr>
        <w:widowControl w:val="1"/>
        <w:spacing w:after="0" w:line="276" w:lineRule="auto"/>
        <w:jc w:val="left"/>
        <w:rPr/>
      </w:pPr>
      <w:r w:rsidDel="00000000" w:rsidR="00000000" w:rsidRPr="00000000">
        <w:rPr>
          <w:rtl w:val="0"/>
        </w:rPr>
        <w:t xml:space="preserve">- Remuneration for technology or services paid to foreigners in connection with the introduction of public loans - Reduction in accordance with the public loan agreement ⑥Exemption of interest income from international financial transactions (Article 21 of the Special Financial Transactions Act) - Interest, etc. on foreign currency-denominated bonds issued overseas by the government, etc. - Income generated when non-residents and foreign corporations transfer securities issued overseas by the government, etc. - 100% exemption ⑦ Reduction of corporate tax, etc. when a public institution moves to an innovative city, etc. (Article 62 of the Special Taxation Act) - Transfer gains arising from the transfer of previous real estate by a relocating public institution to relocate its headquarters to Innovation City or Sejong City. - When a public institution whose headquarters is located in a growth management area moves its headquarters to an innovation city - Transfer gains are not included in gross income, and more than the equal amount is refunded over a 5-year grace period. - 100% exemption for the first taxable year in which income is earned after the transfer date and the next two years, and 50% exemption for the following two years.   * Income subject to exemption: tax base × ratio of former head office employees   ⑧Tax reduction for companies relocating factories outside the metropolitan area (Article 63 of the Special Taxation Act) - Post-relocation factory income as a result of a company that has operated business with factory facilities in the metropolitan area overconcentration control area for more than 3 years (2 years for small and medium-sized businesses) relocating all of its factory facilities out of the metropolitan area (overconcentration control area in the metropolitan area for small and medium-sized businesses)   * If the headquarters are located together, they are relocated together - 100% exemption for the first taxable year in which income is earned after the transfer date and the following 6 years (4 years), and 50% exemption for the following 3 years (2 years) ⑨ Tax reduction, etc. for corporations relocating their headquarters outside the metropolitan area (Article 63-2 of the Special Tax Act) - Income resulting from relocation of headquarters of corporations, excluding corporations engaged in real estate, construction, consumer service, non-store sales, and shipping brokerage businesses - 100% exemption for the first taxable year in which income is earned after the transfer date and the following 6 years (4 years), and 50% exemption for the following 3 years (2 years) ⑩ Corporate tax reduction for companies moving into agricultural and industrial complexes, etc. (Article 64 of the Special Articles Act) - Koreans who are engaged in rural income development projects within agricultural and industrial complexes - Naju General, Innovation, Gimje Horizon, Jangheung Bio Food, Bukpyeong Country, General, Gangjin, Jeongeup High-Tech Science, Donghampyeong, Sepung General (Phase 1), Damyang General, small and medium-sized companies moving into Daema Electric Vehicle Industrial Complex - The first fiscal year in which income is earned and for the next 4 years → 50% corporate tax reduction</w:t>
      </w:r>
    </w:p>
    <w:p w:rsidR="00000000" w:rsidDel="00000000" w:rsidP="00000000" w:rsidRDefault="00000000" w:rsidRPr="00000000" w14:paraId="00000003">
      <w:pPr>
        <w:widowControl w:val="1"/>
        <w:spacing w:after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after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HOuUql5R/HFPvyLFshkSlyA7EQ==">CgMxLjA4AHIhMTJOcjBFemN2cnhBSk4zRDlGOEQ4VFRTSHVSYnBCX1Nq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2023-09-29T01:04:00Z</dcterms:created>
  <dc:creator>임명욱</dc:creator>
</cp:coreProperties>
</file>