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F40" w14:textId="29EF98D5" w:rsidR="00B26F5C" w:rsidRDefault="00B26F5C">
      <w:r>
        <w:t xml:space="preserve">[1] 각종 감면 후의 세액 </w:t>
      </w:r>
      <w:r>
        <w:rPr>
          <w:rFonts w:ascii="Cambria Math" w:hAnsi="Cambria Math" w:cs="Cambria Math"/>
        </w:rPr>
        <w:t>⦁</w:t>
      </w:r>
      <w:proofErr w:type="spellStart"/>
      <w:r>
        <w:t>소득공제금액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손금산입금액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익금불산입금액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비과세</w:t>
      </w:r>
      <w:proofErr w:type="spellEnd"/>
      <w:r>
        <w:t xml:space="preserve"> 금액, 세액공제금액, 법인세 면제 및 감면 적용 후의 세액 중 큰 금 액 [2] 각종 감면 전의 과세표준 × 최저한세율 </w:t>
      </w:r>
      <w:r>
        <w:rPr>
          <w:rFonts w:ascii="Cambria Math" w:hAnsi="Cambria Math" w:cs="Cambria Math"/>
        </w:rPr>
        <w:t>⦁</w:t>
      </w:r>
      <w:proofErr w:type="spellStart"/>
      <w:r>
        <w:t>소득공제금액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손금산입금액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익금불산입금액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비과세</w:t>
      </w:r>
      <w:proofErr w:type="spellEnd"/>
      <w:r>
        <w:t xml:space="preserve"> 금액, 세액공제금액, 법인세 면제 및 감면 전 의 과세표준× 최저한세율 ＋ [3] 최저한세 계산 후의 금액에 추가하여 납부하여야 하는 금액 </w:t>
      </w:r>
      <w:r>
        <w:rPr>
          <w:rFonts w:ascii="Cambria Math" w:hAnsi="Cambria Math" w:cs="Cambria Math"/>
        </w:rPr>
        <w:t>⦁</w:t>
      </w:r>
      <w:r>
        <w:t xml:space="preserve">가산세 </w:t>
      </w:r>
      <w:r>
        <w:rPr>
          <w:rFonts w:ascii="Cambria Math" w:hAnsi="Cambria Math" w:cs="Cambria Math"/>
        </w:rPr>
        <w:t>⦁</w:t>
      </w:r>
      <w:r>
        <w:t xml:space="preserve">이자상당가산액 </w:t>
      </w:r>
      <w:r>
        <w:rPr>
          <w:rFonts w:ascii="Cambria Math" w:hAnsi="Cambria Math" w:cs="Cambria Math"/>
        </w:rPr>
        <w:t>⦁</w:t>
      </w:r>
      <w:r>
        <w:t xml:space="preserve">감면세액의 추징세액 － [4] 최저한세 계산 후에 공제하는 금액 </w:t>
      </w:r>
      <w:r>
        <w:rPr>
          <w:rFonts w:ascii="Cambria Math" w:hAnsi="Cambria Math" w:cs="Cambria Math"/>
        </w:rPr>
        <w:t>⦁</w:t>
      </w:r>
      <w:r>
        <w:t xml:space="preserve">외국납부세액 </w:t>
      </w:r>
      <w:r>
        <w:rPr>
          <w:rFonts w:ascii="Cambria Math" w:hAnsi="Cambria Math" w:cs="Cambria Math"/>
        </w:rPr>
        <w:t>⦁</w:t>
      </w:r>
      <w:r>
        <w:t xml:space="preserve">재해손실세액 </w:t>
      </w:r>
      <w:r>
        <w:rPr>
          <w:rFonts w:ascii="Cambria Math" w:hAnsi="Cambria Math" w:cs="Cambria Math"/>
        </w:rPr>
        <w:t>⦁</w:t>
      </w:r>
      <w:r>
        <w:t xml:space="preserve">기타 최저한세가 적용되지 않는 </w:t>
      </w:r>
      <w:proofErr w:type="spellStart"/>
      <w:r>
        <w:t>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세액면제</w:t>
      </w:r>
      <w:proofErr w:type="spellEnd"/>
      <w:r>
        <w:t xml:space="preserve"> 및 감면 * 최저한세 적용세율 구 분 과세표준 ’11∼’12년 ’13년 ’14년 이후 중소기업 유예기간 4년 포함 7% 7% 7% 일반기업 유예기간 이후 1∼3년차 8% 8% 8% 유예기간 이후 4∼5년차 9% 9% 9% 100억 이하 10% 10% 10% 1천억 이하 11% 12% 12% 1천억 초과 14% 16% 17%</w:t>
      </w:r>
    </w:p>
    <w:sectPr w:rsidR="00B26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C"/>
    <w:rsid w:val="00B2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7219"/>
  <w15:chartTrackingRefBased/>
  <w15:docId w15:val="{C6108C79-C079-4B86-BF1F-085EA6F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2023-09-29T14:44:00Z</dcterms:created>
  <dcterms:modified xsi:type="dcterms:W3CDTF">2023-09-29T14:45:00Z</dcterms:modified>
</cp:coreProperties>
</file>