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｢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Special Provisions Act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｣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§8 Special provisions for inclusion of deductibles for small and medium-sized  business support facilities, etc. §8-2 Income dividends received from win-win cooperation small and medium-sized enterprises are not included in gross income. §10-2 Special taxation provisions for research and development-related contribution reserves, etc. §13 Exemption from taxation on stock transfer gains of small and medium business start-up investment companies, etc. §14 Special taxation provisions for investments made by entrepreneurs, etc. §28 Special provisions for deductible inclusion of service industry depreciation expenses §28-2 Special case for including depreciation expenses for equipment investment assets of small and medium-sized companies §28-3 Special exceptions for including depreciation expenses for facility investment assets §55-2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④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Special taxation provisions for self-managed real estate investment companies, etc.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§60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②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Special corporate tax exemption for relocation of factories to areas other than large cities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§61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③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Special corporate taxation provisions for relocation of corporate headquarters to areas  outside the metropolitan area overpopulation control area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§62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①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Tax deferral when a public institution moves to an innovative city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§63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④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When a factory is relocated outside the metropolitan area, taxation is deferred on transfer gains for factories located in the overconcentration control area of the metropolitan area 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§63-</w:t>
      </w:r>
      <w:r>
        <w:rPr>
          <w:rFonts w:ascii="MS PGothic" w:hAnsi="MS PGothic" w:cs="MS PGothic" w:eastAsia="MS PGothic"/>
          <w:color w:val="auto"/>
          <w:spacing w:val="0"/>
          <w:position w:val="0"/>
          <w:sz w:val="20"/>
          <w:shd w:fill="auto" w:val="clear"/>
        </w:rPr>
        <w:t xml:space="preserve">④</w:t>
      </w:r>
      <w:r>
        <w:rPr>
          <w:rFonts w:ascii="@맑은 고딕" w:hAnsi="@맑은 고딕" w:cs="@맑은 고딕" w:eastAsia="@맑은 고딕"/>
          <w:color w:val="auto"/>
          <w:spacing w:val="0"/>
          <w:position w:val="0"/>
          <w:sz w:val="20"/>
          <w:shd w:fill="auto" w:val="clear"/>
        </w:rPr>
        <w:t xml:space="preserve"> In case of relocating the head office outside the metropolitan area, tax deferral of transfer gains for the head office located in the metropolitan area overconcentration control area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