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7C16" w14:textId="0B6577F2" w:rsidR="00973E61" w:rsidRDefault="00973E61">
      <w:r>
        <w:t>사업관련성 사용용도 세무처리(관련법령) 사업관련성* 이 있는 경우 차량유류대 손금인정(</w:t>
      </w:r>
      <w:proofErr w:type="spellStart"/>
      <w:r>
        <w:t>법법</w:t>
      </w:r>
      <w:proofErr w:type="spellEnd"/>
      <w:r>
        <w:t>§19) 종업원 복리후생 손금인정(</w:t>
      </w:r>
      <w:proofErr w:type="spellStart"/>
      <w:r>
        <w:t>법법</w:t>
      </w:r>
      <w:proofErr w:type="spellEnd"/>
      <w:r>
        <w:t xml:space="preserve">§19) 상품, 제품, </w:t>
      </w:r>
      <w:proofErr w:type="spellStart"/>
      <w:r>
        <w:t>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부자재</w:t>
      </w:r>
      <w:proofErr w:type="spellEnd"/>
      <w:r>
        <w:t xml:space="preserve"> 구입 손금인정(</w:t>
      </w:r>
      <w:proofErr w:type="spellStart"/>
      <w:r>
        <w:t>법법</w:t>
      </w:r>
      <w:proofErr w:type="spellEnd"/>
      <w:r>
        <w:t xml:space="preserve">§19) 종업원 </w:t>
      </w:r>
      <w:proofErr w:type="spellStart"/>
      <w:r>
        <w:t>급여성</w:t>
      </w:r>
      <w:proofErr w:type="spellEnd"/>
      <w:r>
        <w:t xml:space="preserve"> 경비 손금인정(</w:t>
      </w:r>
      <w:proofErr w:type="spellStart"/>
      <w:r>
        <w:t>법법</w:t>
      </w:r>
      <w:proofErr w:type="spellEnd"/>
      <w:r>
        <w:t xml:space="preserve">§19) </w:t>
      </w:r>
      <w:proofErr w:type="spellStart"/>
      <w:r>
        <w:t>접대성</w:t>
      </w:r>
      <w:proofErr w:type="spellEnd"/>
      <w:r>
        <w:t xml:space="preserve"> 경비 일정한도 내에서 손금인정 (</w:t>
      </w:r>
      <w:proofErr w:type="spellStart"/>
      <w:r>
        <w:t>법법</w:t>
      </w:r>
      <w:proofErr w:type="spellEnd"/>
      <w:r>
        <w:t xml:space="preserve">§25, </w:t>
      </w:r>
      <w:proofErr w:type="spellStart"/>
      <w:r>
        <w:t>조특법</w:t>
      </w:r>
      <w:proofErr w:type="spellEnd"/>
      <w:r>
        <w:t xml:space="preserve">§136) 사업관련성이 없는 경우 국가, 공익성 </w:t>
      </w:r>
      <w:proofErr w:type="spellStart"/>
      <w:r>
        <w:t>단체등에</w:t>
      </w:r>
      <w:proofErr w:type="spellEnd"/>
      <w:r>
        <w:t xml:space="preserve"> 기부 (</w:t>
      </w:r>
      <w:proofErr w:type="spellStart"/>
      <w:r>
        <w:t>법정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지정기부금</w:t>
      </w:r>
      <w:proofErr w:type="spellEnd"/>
      <w:r>
        <w:t xml:space="preserve"> 등) 일정한도 내에서 손금인정 (</w:t>
      </w:r>
      <w:proofErr w:type="spellStart"/>
      <w:r>
        <w:t>법법</w:t>
      </w:r>
      <w:proofErr w:type="spellEnd"/>
      <w:r>
        <w:t xml:space="preserve">§24) 기타 업무와 관련 없는 비용 (비지정기부금 등) </w:t>
      </w:r>
      <w:proofErr w:type="spellStart"/>
      <w:r>
        <w:t>손금불인정</w:t>
      </w:r>
      <w:proofErr w:type="spellEnd"/>
      <w:r>
        <w:t>(</w:t>
      </w:r>
      <w:proofErr w:type="spellStart"/>
      <w:r>
        <w:t>법법</w:t>
      </w:r>
      <w:proofErr w:type="spellEnd"/>
      <w:r>
        <w:t>§27)</w:t>
      </w:r>
    </w:p>
    <w:sectPr w:rsidR="00973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1"/>
    <w:rsid w:val="009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B488"/>
  <w15:chartTrackingRefBased/>
  <w15:docId w15:val="{EAD49D68-24C6-400E-82A2-CBBE4348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2023-09-22T06:12:00Z</dcterms:created>
  <dcterms:modified xsi:type="dcterms:W3CDTF">2023-09-22T06:13:00Z</dcterms:modified>
</cp:coreProperties>
</file>