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63FA" w14:textId="4F6C463E" w:rsidR="00546C13" w:rsidRPr="00252E93" w:rsidRDefault="00252E93" w:rsidP="00252E93">
      <w:r>
        <w:t xml:space="preserve">구 분 본 세 세무조정요령 ○ 조세감면에 대한 농특세 - 법인세 감면분 농특세 법 인 세 손금불산입 - 취득세 감면분 농특세 - 등록세 감면분 농특세 - 관 세 감면분 농특세 취 득 세 등 록 세 관 세 당해 자산의 취득원가에 산입 ○ 증권거래세에 대한 농특세 증권거래세 주식 등의 매매거래가 확정된 날이 속하는 사업연도에 손금산입 ○ 취득세에 대한 농특세 취 득 세 취득원가에 산입 ○ 종합부동산세에 대한 농특세 종합부동산세 필요경비 또는 손금산입 </w:t>
      </w:r>
      <w:r>
        <w:rPr>
          <w:rFonts w:ascii="Cambria Math" w:hAnsi="Cambria Math" w:cs="Cambria Math"/>
        </w:rPr>
        <w:t>⦁</w:t>
      </w:r>
      <w:r>
        <w:t>법인세법상 업무무관 부동산에 대한 종합부동산세는 손금불산입</w:t>
      </w:r>
    </w:p>
    <w:sectPr w:rsidR="00546C13" w:rsidRPr="00252E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13"/>
    <w:rsid w:val="00252E93"/>
    <w:rsid w:val="00546C13"/>
    <w:rsid w:val="006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5FFA"/>
  <w15:chartTrackingRefBased/>
  <w15:docId w15:val="{C364FC50-F8B5-4DA0-B198-541DC882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2023-09-22T09:26:00Z</dcterms:created>
  <dcterms:modified xsi:type="dcterms:W3CDTF">2023-10-06T05:36:00Z</dcterms:modified>
</cp:coreProperties>
</file>