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6B3F" w14:textId="357074D9" w:rsidR="005804BD" w:rsidRDefault="005804BD">
      <w:r>
        <w:t xml:space="preserve">[ 당해 사업연도의 보증금 등의 적수 － </w:t>
      </w:r>
      <w:proofErr w:type="spellStart"/>
      <w:r>
        <w:t>임대용부동산의</w:t>
      </w:r>
      <w:proofErr w:type="spellEnd"/>
      <w:r>
        <w:t xml:space="preserve"> 건설비상당액의 적수 ] × 정기예금이자율 에서</w:t>
      </w:r>
      <w:r w:rsidR="00FF2647">
        <w:rPr>
          <w:rFonts w:hint="eastAsia"/>
        </w:rPr>
        <w:t xml:space="preserve"> </w:t>
      </w:r>
      <w:r>
        <w:t xml:space="preserve"> 365(윤년 366) 당해 사업연도의 임대사업부분에서 발생한 수입이자와 </w:t>
      </w:r>
      <w:proofErr w:type="spellStart"/>
      <w:r>
        <w:t>할인료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배당금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신주인수권처분익</w:t>
      </w:r>
      <w:proofErr w:type="spellEnd"/>
      <w:r>
        <w:t xml:space="preserve"> 및 </w:t>
      </w:r>
      <w:proofErr w:type="spellStart"/>
      <w:r>
        <w:t>유가증권처분익의</w:t>
      </w:r>
      <w:proofErr w:type="spellEnd"/>
      <w:r>
        <w:t xml:space="preserve"> 합계액 을 차감한 금액</w:t>
      </w:r>
    </w:p>
    <w:sectPr w:rsidR="005804BD" w:rsidSect="005804B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BD"/>
    <w:rsid w:val="00447C31"/>
    <w:rsid w:val="005804BD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7C9"/>
  <w15:chartTrackingRefBased/>
  <w15:docId w15:val="{ADA1570D-30FE-4474-AB13-1FCDCECA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2023-09-08T05:51:00Z</dcterms:created>
  <dcterms:modified xsi:type="dcterms:W3CDTF">2023-10-06T05:41:00Z</dcterms:modified>
</cp:coreProperties>
</file>