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9C07A" w14:textId="12F756C1" w:rsidR="008F3517" w:rsidRDefault="008F3517">
      <w:r>
        <w:t xml:space="preserve">( )는 비상장법인 지분율 100% 30(50)% 이상* 30(50)% 미만* </w:t>
      </w:r>
      <w:proofErr w:type="spellStart"/>
      <w:r>
        <w:t>익금불산입률</w:t>
      </w:r>
      <w:proofErr w:type="spellEnd"/>
      <w:r>
        <w:t xml:space="preserve"> 100% 50% 30% * ’19.12.31. 이전 배당분은 ‘이상’은 ‘초과’로, ‘미만’은 ‘이하’로 적용</w:t>
      </w:r>
    </w:p>
    <w:sectPr w:rsidR="008F351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517"/>
    <w:rsid w:val="008F3517"/>
    <w:rsid w:val="00D57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AB0E7"/>
  <w15:chartTrackingRefBased/>
  <w15:docId w15:val="{0D04320F-F439-470D-B3EF-75AC4F8F8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임명욱</dc:creator>
  <cp:keywords/>
  <dc:description/>
  <cp:lastModifiedBy>jeong seon park</cp:lastModifiedBy>
  <cp:revision>2</cp:revision>
  <dcterms:created xsi:type="dcterms:W3CDTF">2023-09-08T07:59:00Z</dcterms:created>
  <dcterms:modified xsi:type="dcterms:W3CDTF">2023-10-06T05:54:00Z</dcterms:modified>
</cp:coreProperties>
</file>