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0129" w14:textId="2F98A80D" w:rsidR="00316E1E" w:rsidRDefault="00316E1E">
      <w:r>
        <w:t xml:space="preserve">( )는 비상장법인 지분율 100% 40(80)% 이상 30(50)∼40(80)% 미만* 20(40)∼30(50)% 미만* </w:t>
      </w:r>
      <w:proofErr w:type="spellStart"/>
      <w:r>
        <w:t>익금</w:t>
      </w:r>
      <w:proofErr w:type="spellEnd"/>
      <w:r>
        <w:t xml:space="preserve"> </w:t>
      </w:r>
      <w:proofErr w:type="spellStart"/>
      <w:r>
        <w:t>불산입률</w:t>
      </w:r>
      <w:proofErr w:type="spellEnd"/>
      <w:r>
        <w:t xml:space="preserve"> 2007년 100% 90% 70% 2008년 100% 90% 80% 2009년 100% 100% 80% 2019년 이후 100% 100% 90% 80% ＊ 지주회사는 금융지주회사, 산학협력기술지주회사 및 공공연구기관 첨단기술 지주회사 포함 ＊ ’19.12.31. 이전 배당분은 ‘이상’은 ‘초과’로, ‘미만’은 ‘이하’로 적용 </w:t>
      </w:r>
    </w:p>
    <w:sectPr w:rsidR="00316E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1E"/>
    <w:rsid w:val="00085569"/>
    <w:rsid w:val="00316E1E"/>
    <w:rsid w:val="00D5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5198"/>
  <w15:chartTrackingRefBased/>
  <w15:docId w15:val="{48B2EF49-CFAA-4039-B728-1DA17B32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2023-09-08T07:52:00Z</dcterms:created>
  <dcterms:modified xsi:type="dcterms:W3CDTF">2023-10-06T05:55:00Z</dcterms:modified>
</cp:coreProperties>
</file>