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CF3" w:rsidRDefault="008E2CF3" w:rsidP="008E2CF3">
      <w:r>
        <w:t xml:space="preserve"> () is an unlisted corporation</w:t>
      </w:r>
      <w:r>
        <w:rPr>
          <w:rFonts w:hint="eastAsia"/>
        </w:rPr>
        <w:t xml:space="preserve"> </w:t>
      </w:r>
      <w:r>
        <w:t>share ratio</w:t>
      </w:r>
      <w:r>
        <w:rPr>
          <w:rFonts w:hint="eastAsia"/>
        </w:rPr>
        <w:t xml:space="preserve"> </w:t>
      </w:r>
      <w:r>
        <w:t>Non</w:t>
      </w:r>
      <w:r>
        <w:t>-inclusion rate of gross income</w:t>
      </w:r>
      <w:r>
        <w:rPr>
          <w:rFonts w:hint="eastAsia"/>
        </w:rPr>
        <w:t xml:space="preserve"> </w:t>
      </w:r>
      <w:r>
        <w:t>Since 2019</w:t>
      </w:r>
      <w:r>
        <w:rPr>
          <w:rFonts w:hint="eastAsia"/>
        </w:rPr>
        <w:t xml:space="preserve"> </w:t>
      </w:r>
      <w:r>
        <w:t>More than 40%</w:t>
      </w:r>
      <w:r>
        <w:rPr>
          <w:rFonts w:hint="eastAsia"/>
        </w:rPr>
        <w:t xml:space="preserve"> </w:t>
      </w:r>
      <w:r>
        <w:t>Less than (80)%</w:t>
      </w:r>
      <w:r>
        <w:rPr>
          <w:rFonts w:hint="eastAsia"/>
        </w:rPr>
        <w:t xml:space="preserve"> </w:t>
      </w:r>
      <w:r>
        <w:t>Holding companies include financial holding companies, industry-academic cooperation technology holding companies, and public research institute high-tech holding companies.</w:t>
      </w:r>
      <w:r>
        <w:rPr>
          <w:rFonts w:hint="eastAsia"/>
        </w:rPr>
        <w:t xml:space="preserve"> </w:t>
      </w:r>
      <w:r>
        <w:t>() is an unlisted corporation</w:t>
      </w:r>
      <w:r>
        <w:rPr>
          <w:rFonts w:hint="eastAsia"/>
        </w:rPr>
        <w:t xml:space="preserve"> </w:t>
      </w:r>
      <w:r>
        <w:t>Share ratio</w:t>
      </w:r>
      <w:r>
        <w:rPr>
          <w:rFonts w:hint="eastAsia"/>
        </w:rPr>
        <w:t xml:space="preserve"> </w:t>
      </w:r>
      <w:r>
        <w:t>100%</w:t>
      </w:r>
      <w:r>
        <w:rPr>
          <w:rFonts w:hint="eastAsia"/>
        </w:rPr>
        <w:t xml:space="preserve"> </w:t>
      </w:r>
      <w:r>
        <w:t>More than 40(80)%</w:t>
      </w:r>
      <w:r>
        <w:tab/>
        <w:t>Less than 30(50)~40(80)%</w:t>
      </w:r>
      <w:r>
        <w:tab/>
        <w:t>Less than 20(40)~30(50)%</w:t>
      </w:r>
      <w:r>
        <w:rPr>
          <w:rFonts w:hint="eastAsia"/>
        </w:rPr>
        <w:t xml:space="preserve"> </w:t>
      </w:r>
      <w:r>
        <w:t>Non-</w:t>
      </w:r>
      <w:r>
        <w:t>inclusion rate of gross income</w:t>
      </w:r>
      <w:r>
        <w:rPr>
          <w:rFonts w:hint="eastAsia"/>
        </w:rPr>
        <w:t xml:space="preserve"> </w:t>
      </w:r>
      <w:r>
        <w:t>2007</w:t>
      </w:r>
      <w:r>
        <w:rPr>
          <w:rFonts w:hint="eastAsia"/>
        </w:rPr>
        <w:t xml:space="preserve"> </w:t>
      </w:r>
      <w:r>
        <w:t>100%</w:t>
      </w:r>
      <w:r>
        <w:rPr>
          <w:rFonts w:hint="eastAsia"/>
        </w:rPr>
        <w:t xml:space="preserve"> </w:t>
      </w:r>
      <w:r>
        <w:t>90%</w:t>
      </w:r>
      <w:r>
        <w:rPr>
          <w:rFonts w:hint="eastAsia"/>
        </w:rPr>
        <w:t xml:space="preserve"> </w:t>
      </w:r>
      <w:r>
        <w:t>70%</w:t>
      </w:r>
      <w:r>
        <w:rPr>
          <w:rFonts w:hint="eastAsia"/>
        </w:rPr>
        <w:t xml:space="preserve"> </w:t>
      </w:r>
      <w:r>
        <w:t>2008</w:t>
      </w:r>
      <w:r>
        <w:rPr>
          <w:rFonts w:hint="eastAsia"/>
        </w:rPr>
        <w:t xml:space="preserve"> </w:t>
      </w:r>
      <w:r>
        <w:t>100%</w:t>
      </w:r>
      <w:r>
        <w:rPr>
          <w:rFonts w:hint="eastAsia"/>
        </w:rPr>
        <w:t xml:space="preserve"> </w:t>
      </w:r>
      <w:r>
        <w:t>90%</w:t>
      </w:r>
      <w:r>
        <w:rPr>
          <w:rFonts w:hint="eastAsia"/>
        </w:rPr>
        <w:t xml:space="preserve"> </w:t>
      </w:r>
      <w:r>
        <w:t>80%</w:t>
      </w:r>
      <w:r>
        <w:rPr>
          <w:rFonts w:hint="eastAsia"/>
        </w:rPr>
        <w:t xml:space="preserve"> </w:t>
      </w:r>
      <w:r>
        <w:t>2009</w:t>
      </w:r>
      <w:r>
        <w:rPr>
          <w:rFonts w:hint="eastAsia"/>
        </w:rPr>
        <w:t xml:space="preserve"> </w:t>
      </w:r>
      <w:r>
        <w:t>100%</w:t>
      </w:r>
      <w:r>
        <w:rPr>
          <w:rFonts w:hint="eastAsia"/>
        </w:rPr>
        <w:t xml:space="preserve"> </w:t>
      </w:r>
      <w:r>
        <w:t>100%</w:t>
      </w:r>
      <w:r>
        <w:rPr>
          <w:rFonts w:hint="eastAsia"/>
        </w:rPr>
        <w:t xml:space="preserve"> </w:t>
      </w:r>
      <w:r>
        <w:t>80%</w:t>
      </w:r>
      <w:r>
        <w:rPr>
          <w:rFonts w:hint="eastAsia"/>
        </w:rPr>
        <w:t xml:space="preserve"> </w:t>
      </w:r>
      <w:r>
        <w:t>Since 2019</w:t>
      </w:r>
      <w:r>
        <w:rPr>
          <w:rFonts w:hint="eastAsia"/>
        </w:rPr>
        <w:t xml:space="preserve"> </w:t>
      </w:r>
      <w:r>
        <w:t>100%</w:t>
      </w:r>
      <w:r>
        <w:rPr>
          <w:rFonts w:hint="eastAsia"/>
        </w:rPr>
        <w:t xml:space="preserve"> </w:t>
      </w:r>
      <w:r>
        <w:t>100%</w:t>
      </w:r>
      <w:r>
        <w:rPr>
          <w:rFonts w:hint="eastAsia"/>
        </w:rPr>
        <w:t xml:space="preserve"> </w:t>
      </w:r>
      <w:r>
        <w:t>90%</w:t>
      </w:r>
      <w:r>
        <w:rPr>
          <w:rFonts w:hint="eastAsia"/>
        </w:rPr>
        <w:t xml:space="preserve"> </w:t>
      </w:r>
      <w:r>
        <w:t>80%</w:t>
      </w:r>
      <w:r>
        <w:rPr>
          <w:rFonts w:hint="eastAsia"/>
        </w:rPr>
        <w:t xml:space="preserve"> </w:t>
      </w:r>
      <w:r>
        <w:t xml:space="preserve">* Holding companies include financial holding companies, industry-academic cooperation technology holding companies, and public research institute high-tech holding companies * '19.12.31. </w:t>
      </w:r>
      <w:proofErr w:type="gramStart"/>
      <w:r>
        <w:t>for</w:t>
      </w:r>
      <w:proofErr w:type="gramEnd"/>
      <w:r>
        <w:t xml:space="preserve"> previous dividends, ‘more than’ is applied as ‘exceeding’ and ‘less than’ is </w:t>
      </w:r>
      <w:bookmarkStart w:id="0" w:name="_GoBack"/>
      <w:bookmarkEnd w:id="0"/>
      <w:r>
        <w:t>applied as ‘less than’.</w:t>
      </w:r>
    </w:p>
    <w:p w:rsidR="008E2CF3" w:rsidRDefault="008E2CF3" w:rsidP="008E2CF3"/>
    <w:p w:rsidR="00FA4CFF" w:rsidRPr="008E2CF3" w:rsidRDefault="00FA4CFF" w:rsidP="008E2CF3"/>
    <w:sectPr w:rsidR="00FA4CFF" w:rsidRPr="008E2C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4B0"/>
    <w:rsid w:val="001A0DCD"/>
    <w:rsid w:val="006123F4"/>
    <w:rsid w:val="006664B0"/>
    <w:rsid w:val="007A60A5"/>
    <w:rsid w:val="008E2CF3"/>
    <w:rsid w:val="00B07F4A"/>
    <w:rsid w:val="00D12B63"/>
    <w:rsid w:val="00D40FF9"/>
    <w:rsid w:val="00E62937"/>
    <w:rsid w:val="00FA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2023-10-13T07:54:00Z</dcterms:created>
  <dcterms:modified xsi:type="dcterms:W3CDTF">2023-10-13T12:45:00Z</dcterms:modified>
</cp:coreProperties>
</file>