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0205C512" w:rsidR="0007580F" w:rsidRPr="00007E0E" w:rsidRDefault="00007E0E" w:rsidP="00007E0E">
      <w:r>
        <w:t>B/S상 매출채권 ＋ 세무조정 미수계상누락 ＋ 당기말 현재 대손금부인누계액 × 1/100 or 대손실적률 ＝ 대 손 충 당 금 손금산입범위액</w:t>
      </w:r>
    </w:p>
    <w:sectPr w:rsidR="0007580F" w:rsidRPr="00007E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07E0E"/>
    <w:rsid w:val="0007580F"/>
    <w:rsid w:val="000B0D47"/>
    <w:rsid w:val="001F4EA4"/>
    <w:rsid w:val="00682D15"/>
    <w:rsid w:val="007F4F04"/>
    <w:rsid w:val="00877064"/>
    <w:rsid w:val="008A58AF"/>
    <w:rsid w:val="00BC2854"/>
    <w:rsid w:val="00D5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2023-09-10T13:34:00Z</dcterms:created>
  <dcterms:modified xsi:type="dcterms:W3CDTF">2023-10-06T06:18:00Z</dcterms:modified>
</cp:coreProperties>
</file>