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F66D" w14:textId="0F6F3CCB" w:rsidR="00CF7321" w:rsidRPr="003A5B82" w:rsidRDefault="003A5B82" w:rsidP="003A5B82">
      <w:r>
        <w:t xml:space="preserve">구분 유예기간 1. 건축물 또는 시설물 신축용 토지 취득일부터 5년* 2. 부동산매매업을 주업으로 하는 법인이 취득한 </w:t>
      </w:r>
      <w:proofErr w:type="spellStart"/>
      <w:r>
        <w:t>매매용부동산</w:t>
      </w:r>
      <w:proofErr w:type="spellEnd"/>
      <w:r>
        <w:t xml:space="preserve"> 취득일부터 5년 3. 그 외의 부동산 취득일부터 2년 *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산업집적활성화</w:t>
      </w:r>
      <w:r>
        <w:t xml:space="preserve"> 및 공장설립에 관한 법률</w:t>
      </w:r>
      <w:r>
        <w:rPr>
          <w:rFonts w:ascii="MS Mincho" w:eastAsia="MS Mincho" w:hAnsi="MS Mincho" w:cs="MS Mincho" w:hint="eastAsia"/>
        </w:rPr>
        <w:t>｣</w:t>
      </w:r>
      <w:r>
        <w:t xml:space="preserve"> 제2조제1호의 규정에 의한 공장용 부지로서 같은 법 또는 </w:t>
      </w:r>
      <w:r>
        <w:rPr>
          <w:rFonts w:ascii="MS Mincho" w:eastAsia="MS Mincho" w:hAnsi="MS Mincho" w:cs="MS Mincho" w:hint="eastAsia"/>
        </w:rPr>
        <w:t>｢</w:t>
      </w:r>
      <w:r>
        <w:rPr>
          <w:rFonts w:ascii="맑은 고딕" w:eastAsia="맑은 고딕" w:hAnsi="맑은 고딕" w:cs="맑은 고딕" w:hint="eastAsia"/>
        </w:rPr>
        <w:t>중소기업</w:t>
      </w:r>
      <w:r>
        <w:t xml:space="preserve"> </w:t>
      </w:r>
      <w:proofErr w:type="spellStart"/>
      <w:r>
        <w:t>창업지원법</w:t>
      </w:r>
      <w:r>
        <w:rPr>
          <w:rFonts w:ascii="MS Mincho" w:eastAsia="MS Mincho" w:hAnsi="MS Mincho" w:cs="MS Mincho" w:hint="eastAsia"/>
        </w:rPr>
        <w:t>｣</w:t>
      </w:r>
      <w:r>
        <w:rPr>
          <w:rFonts w:ascii="맑은 고딕" w:eastAsia="맑은 고딕" w:hAnsi="맑은 고딕" w:cs="맑은 고딕" w:hint="eastAsia"/>
        </w:rPr>
        <w:t>에</w:t>
      </w:r>
      <w:proofErr w:type="spellEnd"/>
      <w:r>
        <w:t xml:space="preserve"> 따라 승인을 얻은 사업계획서상의 공장건설 계획기간이 5년을 초과하는 경우에는 해당 공장건설계획기간</w:t>
      </w:r>
    </w:p>
    <w:sectPr w:rsidR="00CF7321" w:rsidRPr="003A5B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21"/>
    <w:rsid w:val="003A5B82"/>
    <w:rsid w:val="00434EB7"/>
    <w:rsid w:val="00CF7321"/>
    <w:rsid w:val="00E7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3ADF2"/>
  <w15:chartTrackingRefBased/>
  <w15:docId w15:val="{609521AA-D16E-4E12-BDD2-6409D4C8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2023-09-12T08:03:00Z</dcterms:created>
  <dcterms:modified xsi:type="dcterms:W3CDTF">2023-10-06T06:46:00Z</dcterms:modified>
</cp:coreProperties>
</file>