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F66D" w14:textId="494501FD" w:rsidR="00CF7321" w:rsidRPr="00A677A4" w:rsidRDefault="00650FAE" w:rsidP="00A677A4">
      <w:r>
        <w:t>●</w:t>
      </w:r>
      <w:r w:rsidR="00A677A4">
        <w:t xml:space="preserve"> 지급이자총액 이자율 지급이자 차입금 적수 비 고 20% 5,000,000* 9,125,000,000 * 채권자불분명 사채이자임 (원천징수세액 1,375,000원 포함) 13% 7,800,000 21,900,000,000 10% 15,000,000 54,750,000,000 계 27,800,000 85,775,000,000 </w:t>
      </w:r>
      <w:r>
        <w:t>●</w:t>
      </w:r>
      <w:r w:rsidR="00A677A4">
        <w:t xml:space="preserve"> 특수관계에 있는 자(대표이사)에 대한 가지급금 내역 - 2022.4.20. 가지급 7,000,000 - 2022.8.15. 가지급금회수 5,000,000 </w:t>
      </w:r>
      <w:r>
        <w:t>●</w:t>
      </w:r>
      <w:r w:rsidR="00A677A4">
        <w:t xml:space="preserve"> 토지계정：임대용 나대지 20,000,000 (취득가액, 해당기간：2022.1.1.∼2022.12.31.) </w:t>
      </w:r>
      <w:r>
        <w:t>●</w:t>
      </w:r>
      <w:r w:rsidR="00A677A4">
        <w:t xml:space="preserve"> 사업연도：2022.1.1.∼2022.12.31</w:t>
      </w:r>
    </w:p>
    <w:sectPr w:rsidR="00CF7321" w:rsidRPr="00A67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21"/>
    <w:rsid w:val="003A5B82"/>
    <w:rsid w:val="00434EB7"/>
    <w:rsid w:val="00650FAE"/>
    <w:rsid w:val="00A677A4"/>
    <w:rsid w:val="00C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ADF2"/>
  <w15:chartTrackingRefBased/>
  <w15:docId w15:val="{609521AA-D16E-4E12-BDD2-6409D4C8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2023-09-12T08:13:00Z</dcterms:created>
  <dcterms:modified xsi:type="dcterms:W3CDTF">2023-10-06T06:47:00Z</dcterms:modified>
</cp:coreProperties>
</file>