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403F" w14:textId="4036A5C0" w:rsidR="0008674B" w:rsidRDefault="0008674B">
      <w:r>
        <w:t xml:space="preserve">(손금산입한도) MAX(A, B) A. </w:t>
      </w:r>
      <w:proofErr w:type="spellStart"/>
      <w:r>
        <w:t>기준감가상각비</w:t>
      </w:r>
      <w:proofErr w:type="spellEnd"/>
      <w:r>
        <w:t xml:space="preserve">(㉠) B. 결산서상 </w:t>
      </w:r>
      <w:proofErr w:type="spellStart"/>
      <w:r>
        <w:t>손금산입</w:t>
      </w:r>
      <w:proofErr w:type="spellEnd"/>
      <w:r>
        <w:t xml:space="preserve"> 감가상각비＋MIN(㉡, ㉢)[다만, ㉢×25%&gt;㉡인 경우에는 ㉢×25%를 적용]</w:t>
      </w:r>
    </w:p>
    <w:sectPr w:rsidR="00086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B"/>
    <w:rsid w:val="000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D8E"/>
  <w15:chartTrackingRefBased/>
  <w15:docId w15:val="{C3536B11-8C2A-430D-BD2E-B0332BF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2023-09-13T06:34:00Z</dcterms:created>
  <dcterms:modified xsi:type="dcterms:W3CDTF">2023-09-13T06:35:00Z</dcterms:modified>
</cp:coreProperties>
</file>