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F7" w:rsidRDefault="00B162F7" w:rsidP="00B162F7">
      <w:r>
        <w:t>Material</w:t>
      </w:r>
      <w:r>
        <w:rPr>
          <w:rFonts w:hint="eastAsia"/>
        </w:rPr>
        <w:t xml:space="preserve"> </w:t>
      </w:r>
      <w:r>
        <w:t>&lt;Acquisition date and acquisition va</w:t>
      </w:r>
      <w:r>
        <w:t>lue details of acquired assets&gt;</w:t>
      </w:r>
      <w:r>
        <w:rPr>
          <w:rFonts w:hint="eastAsia"/>
        </w:rPr>
        <w:t xml:space="preserve"> </w:t>
      </w:r>
      <w:r>
        <w:rPr>
          <w:rFonts w:hint="eastAsia"/>
        </w:rPr>
        <w:t>●</w:t>
      </w:r>
      <w:r>
        <w:t xml:space="preserve"> General assets (useful life of 4 years selected)</w:t>
      </w:r>
      <w:r>
        <w:rPr>
          <w:rFonts w:hint="eastAsia"/>
        </w:rPr>
        <w:t xml:space="preserve"> </w:t>
      </w:r>
      <w:r>
        <w:t>- PC, etc. (acquired on January 1, 2021): 6,000,000 - Truck (acquired on August 1, 2021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4,500,000</w:t>
      </w:r>
      <w:r>
        <w:t>- Amortization rat</w:t>
      </w:r>
      <w:r>
        <w:t>e (useful life 4 years) : 0.528</w:t>
      </w:r>
      <w:r>
        <w:rPr>
          <w:rFonts w:hint="eastAsia"/>
        </w:rPr>
        <w:t xml:space="preserve"> </w:t>
      </w:r>
      <w:r>
        <w:rPr>
          <w:rFonts w:hint="eastAsia"/>
        </w:rPr>
        <w:t>●</w:t>
      </w:r>
      <w:r>
        <w:t xml:space="preserve"> Architecture</w:t>
      </w:r>
      <w:r>
        <w:rPr>
          <w:rFonts w:hint="eastAsia"/>
        </w:rPr>
        <w:t xml:space="preserve"> </w:t>
      </w:r>
      <w:r>
        <w:t>- General building (useful life of 40 years selected, acquired on February 25, 2021): 31,000,000</w:t>
      </w:r>
      <w:r>
        <w:rPr>
          <w:rFonts w:hint="eastAsia"/>
        </w:rPr>
        <w:t xml:space="preserve"> </w:t>
      </w:r>
      <w:r>
        <w:t>- Factory building (useful life of 20 years selected)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Factory, etc. (acquired on January 27, 2021</w:t>
      </w:r>
      <w:proofErr w:type="gramStart"/>
      <w:r>
        <w:t>) :</w:t>
      </w:r>
      <w:proofErr w:type="gramEnd"/>
      <w:r>
        <w:t xml:space="preserve"> 17,200,000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Warehouse, etc. (acquire</w:t>
      </w:r>
      <w:r>
        <w:t>d on July 25, 2021</w:t>
      </w:r>
      <w:proofErr w:type="gramStart"/>
      <w:r>
        <w:t>) :</w:t>
      </w:r>
      <w:proofErr w:type="gramEnd"/>
      <w:r>
        <w:t xml:space="preserve"> 8,000,000</w:t>
      </w:r>
      <w:r>
        <w:rPr>
          <w:rFonts w:hint="eastAsia"/>
        </w:rPr>
        <w:t xml:space="preserve"> </w:t>
      </w:r>
      <w:r>
        <w:rPr>
          <w:rFonts w:hint="eastAsia"/>
        </w:rPr>
        <w:t>●</w:t>
      </w:r>
      <w:r>
        <w:t>Assets by industry</w:t>
      </w:r>
      <w:r>
        <w:rPr>
          <w:rFonts w:hint="eastAsia"/>
        </w:rPr>
        <w:t xml:space="preserve"> </w:t>
      </w:r>
      <w:r>
        <w:t>- Industry (18: Printing Industry): Select useful life of 5 years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Mechanical equipment (acquired on January 27, 2021) : 17,200,000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t xml:space="preserve"> Mechanical equipment (acquire</w:t>
      </w:r>
      <w:r>
        <w:t>d on July 2, 2021) : 10,000,000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•</w:t>
      </w:r>
      <w:r>
        <w:t xml:space="preserve"> Amortization rate (useful life: 5 years) : 0.451</w:t>
      </w:r>
    </w:p>
    <w:p w:rsidR="00B162F7" w:rsidRDefault="00B162F7" w:rsidP="00B162F7"/>
    <w:p w:rsidR="00FA4CFF" w:rsidRDefault="00FA4CFF"/>
    <w:sectPr w:rsidR="00FA4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84"/>
    <w:rsid w:val="001A0DCD"/>
    <w:rsid w:val="006123F4"/>
    <w:rsid w:val="00A01784"/>
    <w:rsid w:val="00B162F7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2023-10-15T04:37:00Z</dcterms:created>
  <dcterms:modified xsi:type="dcterms:W3CDTF">2023-10-15T04:37:00Z</dcterms:modified>
</cp:coreProperties>
</file>