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7FA0" w14:textId="0B0BC9B1" w:rsidR="009317EE" w:rsidRDefault="008D125B">
      <w:r>
        <w:t>과세대상자산 세율 2013.1.</w:t>
      </w:r>
      <w:proofErr w:type="gramStart"/>
      <w:r>
        <w:t>1.∼</w:t>
      </w:r>
      <w:proofErr w:type="gramEnd"/>
      <w:r>
        <w:t xml:space="preserve"> 2013.12.31. 양도 자산 2014.1.</w:t>
      </w:r>
      <w:proofErr w:type="gramStart"/>
      <w:r>
        <w:t>1.∼</w:t>
      </w:r>
      <w:proofErr w:type="gramEnd"/>
      <w:r>
        <w:t xml:space="preserve"> 2020.12.31. 양도 자산 2021.1.1. 이후 양도 자산 (1) 비사업용 토지 30% (미등기 40%) 10% (미등기 40%) 10% (미등기 40%) (2) 주택, 별장 20% (미등기 40%) (3) 조합원입주권과 분양권 - 20% * 舊 법인세법§25①(1)에 따른 중소기업이 (2)주택 또는 (3)비사업용 토지(미등기 </w:t>
      </w:r>
      <w:proofErr w:type="spellStart"/>
      <w:r>
        <w:t>토지등은</w:t>
      </w:r>
      <w:proofErr w:type="spellEnd"/>
      <w:r>
        <w:t xml:space="preserve"> 제외한다)를 2015년 12월 31일까지 양도하는 경우에는 토지 등 양도소득에 대한 법인세를 추가 과세하지 아니함(법인세법 부칙 제8조 단서, 법률 제12166호, 2014.1.1.). * 하나의 자산이 둘 이상에 해당하는 때에는 그 중 가장 높은 세율을 적용 * 법인의 주택, 별장 양도차익에 대해 기본세율(10%~25%)에 추가하여 적용하는 세율을 10% → 20% 인상 (’21년 양도분부터) * 법인의 조합원입주권, 분양권 양도차익을 과세대상에 포함, 기본세율(10%~25%)에 20%를 추가 적용 (’21년 양도분부터)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5B"/>
    <w:rsid w:val="008D125B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D101"/>
  <w15:chartTrackingRefBased/>
  <w15:docId w15:val="{B4289BB8-F974-42CA-ADBA-708DAF4D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2023-09-28T04:08:00Z</dcterms:created>
  <dcterms:modified xsi:type="dcterms:W3CDTF">2023-09-28T04:08:00Z</dcterms:modified>
</cp:coreProperties>
</file>