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97ED" w14:textId="2AA1BB11" w:rsidR="009317EE" w:rsidRDefault="00D66B99">
      <w:r>
        <w:t>* 이자상당액＝①×② ①</w:t>
      </w:r>
      <w:r w:rsidR="00A9075C">
        <w:t xml:space="preserve"> </w:t>
      </w:r>
      <w:r>
        <w:t>당해 고유목적사업준비금의 잔액을 손금에 산입한 사업연도에 그 잔액을 손금에 산입함에 따라 발생한 법인세액의 차액 ② 손금에 산입한 사업연도의 다음 사업연도의 개시일부터 익금에 산입한 사업연도의 종료일까지의 기간에 대하여 1일 10만분의 22의 율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99"/>
    <w:rsid w:val="009317EE"/>
    <w:rsid w:val="00A9075C"/>
    <w:rsid w:val="00B0580C"/>
    <w:rsid w:val="00B57DAA"/>
    <w:rsid w:val="00D66B99"/>
    <w:rsid w:val="00E62F33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2A0E"/>
  <w15:chartTrackingRefBased/>
  <w15:docId w15:val="{A7639DD4-D212-4E96-B064-74057D50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2023-09-29T08:58:00Z</dcterms:created>
  <dcterms:modified xsi:type="dcterms:W3CDTF">2023-10-05T06:41:00Z</dcterms:modified>
</cp:coreProperties>
</file>