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4C56" w14:textId="48E0AD4C" w:rsidR="009317EE" w:rsidRDefault="00D5145A">
      <w:r>
        <w:t>이자소득지급자 (금융기관) 비영리법인 원천분리과세 (분리과세로 종결) 신고과세 (종합과세 합산) (원천징수) 신고방법 임의선택 특례 원칙 이자지급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5A"/>
    <w:rsid w:val="009317EE"/>
    <w:rsid w:val="00B0580C"/>
    <w:rsid w:val="00B57DAA"/>
    <w:rsid w:val="00D5145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3482"/>
  <w15:chartTrackingRefBased/>
  <w15:docId w15:val="{9AB9B731-25DF-4682-98D8-F9021EA6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2023-09-29T09:22:00Z</dcterms:created>
  <dcterms:modified xsi:type="dcterms:W3CDTF">2023-09-29T09:22:00Z</dcterms:modified>
</cp:coreProperties>
</file>