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0422" w14:textId="4B44AC46" w:rsidR="009317EE" w:rsidRDefault="00E17DC2">
      <w:proofErr w:type="spellStart"/>
      <w:r>
        <w:t>조특법</w:t>
      </w:r>
      <w:proofErr w:type="spellEnd"/>
      <w:r>
        <w:t xml:space="preserve"> </w:t>
      </w:r>
      <w:proofErr w:type="spellStart"/>
      <w:r>
        <w:t>기본통칙</w:t>
      </w:r>
      <w:proofErr w:type="spellEnd"/>
      <w:r>
        <w:t xml:space="preserve"> 72-0…1 【결산재무제표상 당기순이익의 범위】 ① 법 제72조 제1항에서 “결산재무제표상 당기순이익”이라 함은 법인세법시행령 제79조의 규정에 의한 기업회계기준 또는 관행에 의하여 작성한 결산재무제표상 법인세비용 </w:t>
      </w:r>
      <w:proofErr w:type="spellStart"/>
      <w:r>
        <w:t>차감전순이익을</w:t>
      </w:r>
      <w:proofErr w:type="spellEnd"/>
      <w:r>
        <w:t xml:space="preserve"> 말한다. 이 경우 당해 법인이 수익사업과 비수익사업을 구분경리한 경우에는 각 사업의 </w:t>
      </w:r>
      <w:proofErr w:type="spellStart"/>
      <w:r>
        <w:t>당기순손익을</w:t>
      </w:r>
      <w:proofErr w:type="spellEnd"/>
      <w:r>
        <w:t xml:space="preserve"> 합산한 금액을 과세표준으로 한다. ② 제1항의 규정을 적용함에 있어서 당해 조합법인 등이 법인세추가납부세액을 </w:t>
      </w:r>
      <w:proofErr w:type="gramStart"/>
      <w:r>
        <w:t xml:space="preserve">영업외비용 </w:t>
      </w:r>
      <w:proofErr w:type="spellStart"/>
      <w:r>
        <w:t>으로</w:t>
      </w:r>
      <w:proofErr w:type="spellEnd"/>
      <w:proofErr w:type="gramEnd"/>
      <w:r>
        <w:t xml:space="preserve"> 계상한 경우 이를 결산재무제표 상 </w:t>
      </w:r>
      <w:proofErr w:type="spellStart"/>
      <w:r>
        <w:t>법인세비용차감전</w:t>
      </w:r>
      <w:proofErr w:type="spellEnd"/>
      <w:r>
        <w:t xml:space="preserve"> 순이익에 가산한다. ③ 제1항의 규정에 의한 과세표준에는 법인세법 제3조 제2항 제5호 및 동법시행령 제2조 제2항의 규정에 의한 3년 이상 고유목적사업에 직접 사용하던 고정 자산의 </w:t>
      </w:r>
      <w:proofErr w:type="spellStart"/>
      <w:r>
        <w:t>처분익을</w:t>
      </w:r>
      <w:proofErr w:type="spellEnd"/>
      <w:r>
        <w:t xml:space="preserve"> 포함한다. ④ 기업회계기준상 </w:t>
      </w:r>
      <w:proofErr w:type="spellStart"/>
      <w:r>
        <w:t>당기순손익을</w:t>
      </w:r>
      <w:proofErr w:type="spellEnd"/>
      <w:r>
        <w:t xml:space="preserve"> </w:t>
      </w:r>
      <w:proofErr w:type="spellStart"/>
      <w:r>
        <w:t>과소계상한</w:t>
      </w:r>
      <w:proofErr w:type="spellEnd"/>
      <w:r>
        <w:t xml:space="preserve"> 조합법인이 그 다음사업연도 결산 시 당해 </w:t>
      </w:r>
      <w:proofErr w:type="spellStart"/>
      <w:r>
        <w:t>과소계상상당액을</w:t>
      </w:r>
      <w:proofErr w:type="spellEnd"/>
      <w:r>
        <w:t xml:space="preserve"> </w:t>
      </w:r>
      <w:proofErr w:type="spellStart"/>
      <w:r>
        <w:t>전기오류수정손익으로</w:t>
      </w:r>
      <w:proofErr w:type="spellEnd"/>
      <w:r>
        <w:t xml:space="preserve"> </w:t>
      </w:r>
      <w:proofErr w:type="spellStart"/>
      <w:r>
        <w:t>이익잉여금처분계산서에</w:t>
      </w:r>
      <w:proofErr w:type="spellEnd"/>
      <w:r>
        <w:t xml:space="preserve"> 계상한 경우 법인세 과세표준계산은 국세기본법상 수정신고 또는 경정청구를 통해 </w:t>
      </w:r>
      <w:proofErr w:type="spellStart"/>
      <w:r>
        <w:t>과소계상한</w:t>
      </w:r>
      <w:proofErr w:type="spellEnd"/>
      <w:r>
        <w:t xml:space="preserve"> 사업연도의 과세표준을 조정하여야 한다.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C2"/>
    <w:rsid w:val="009317EE"/>
    <w:rsid w:val="00B0580C"/>
    <w:rsid w:val="00B57DAA"/>
    <w:rsid w:val="00E17DC2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AF99"/>
  <w15:chartTrackingRefBased/>
  <w15:docId w15:val="{DCB65ACF-BFE4-434B-BD75-AF8F637F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2023-09-29T10:04:00Z</dcterms:created>
  <dcterms:modified xsi:type="dcterms:W3CDTF">2023-09-29T10:04:00Z</dcterms:modified>
</cp:coreProperties>
</file>