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EC4" w:rsidRPr="00720F98" w:rsidRDefault="00720F98">
      <w:r w:rsidRPr="00FC46D5">
        <w:rPr>
          <w:rFonts w:ascii="Arial" w:eastAsia="맑은 고딕" w:hAnsi="Arial" w:cs="Arial"/>
          <w:color w:val="000000"/>
          <w:szCs w:val="20"/>
        </w:rPr>
        <w:t>rule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Reported taxation (comprehensive taxation combined)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Interest income payer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Interest payment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>
        <w:rPr>
          <w:rFonts w:ascii="Arial" w:eastAsia="맑은 고딕" w:hAnsi="Arial" w:cs="Arial"/>
          <w:color w:val="000000"/>
          <w:szCs w:val="20"/>
        </w:rPr>
        <w:t>reporting method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non-prof</w:t>
      </w:r>
      <w:bookmarkStart w:id="0" w:name="_GoBack"/>
      <w:bookmarkEnd w:id="0"/>
      <w:r w:rsidRPr="00FC46D5">
        <w:rPr>
          <w:rFonts w:ascii="Arial" w:eastAsia="맑은 고딕" w:hAnsi="Arial" w:cs="Arial"/>
          <w:color w:val="000000"/>
          <w:szCs w:val="20"/>
        </w:rPr>
        <w:t>it corporation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(financial institution)</w:t>
      </w:r>
      <w:r>
        <w:rPr>
          <w:rFonts w:ascii="Arial" w:eastAsia="맑은 고딕" w:hAnsi="Arial" w:cs="Arial" w:hint="eastAsia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(withholding tax)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Random selection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Separate taxation at source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special case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  <w:r w:rsidRPr="00FC46D5">
        <w:rPr>
          <w:rFonts w:ascii="Arial" w:eastAsia="맑은 고딕" w:hAnsi="Arial" w:cs="Arial"/>
          <w:color w:val="000000"/>
          <w:szCs w:val="20"/>
        </w:rPr>
        <w:t>(finished with separate taxation)</w:t>
      </w:r>
      <w:r>
        <w:rPr>
          <w:rFonts w:ascii="Arial" w:eastAsia="맑은 고딕" w:hAnsi="Arial" w:cs="Arial"/>
          <w:color w:val="000000"/>
          <w:szCs w:val="20"/>
        </w:rPr>
        <w:t xml:space="preserve"> </w:t>
      </w:r>
    </w:p>
    <w:sectPr w:rsidR="008F1EC4" w:rsidRPr="00720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98"/>
    <w:rsid w:val="00720F98"/>
    <w:rsid w:val="008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9002F-ECBD-4349-9997-A7231548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F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2023-10-12T18:55:00Z</dcterms:created>
  <dcterms:modified xsi:type="dcterms:W3CDTF">2023-10-12T18:55:00Z</dcterms:modified>
</cp:coreProperties>
</file>