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E10D" w14:textId="2D803420" w:rsidR="009317EE" w:rsidRDefault="00C4527E">
      <w:r>
        <w:t xml:space="preserve">법인세에 대한 농어촌특별세 과세체계 </w:t>
      </w:r>
      <w:r w:rsidR="00441EB8" w:rsidRPr="00441EB8">
        <w:rPr>
          <w:rFonts w:hint="eastAsia"/>
        </w:rPr>
        <w:t>●</w:t>
      </w:r>
      <w:r>
        <w:t xml:space="preserve"> 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감면을</w:t>
      </w:r>
      <w:r>
        <w:t xml:space="preserve"> 받는 경우 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면제</w:t>
      </w:r>
      <w:r>
        <w:t xml:space="preserve"> 또는 감면을 받은 세액 × 세율(20%) </w:t>
      </w:r>
      <w:r w:rsidR="00441EB8" w:rsidRPr="00441EB8">
        <w:rPr>
          <w:rFonts w:hint="eastAsia"/>
        </w:rPr>
        <w:t>●</w:t>
      </w:r>
      <w:r>
        <w:t xml:space="preserve"> 비과세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소득공제를</w:t>
      </w:r>
      <w:r>
        <w:t xml:space="preserve"> 받는 경우 {( 과세표준금액 ＋ 비과세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소득공제</w:t>
      </w:r>
      <w:r>
        <w:t xml:space="preserve"> 금액 × 법인세율 ) － ( 과세표준 금 액 × 법인 세율 )} × 세율 (20%) </w:t>
      </w:r>
      <w:r w:rsidR="00441EB8" w:rsidRPr="00441EB8">
        <w:rPr>
          <w:rFonts w:hint="eastAsia"/>
        </w:rPr>
        <w:t>●</w:t>
      </w:r>
      <w:r>
        <w:t xml:space="preserve"> 조합법인 {( 조합법인의 과세표준 × 일 반 법인세율 ) － ( 조합법인의 과세표준 × 9％ )} × 세율 (20%)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7E"/>
    <w:rsid w:val="00441EB8"/>
    <w:rsid w:val="009317EE"/>
    <w:rsid w:val="00B0580C"/>
    <w:rsid w:val="00B57DAA"/>
    <w:rsid w:val="00C4527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3D9B"/>
  <w15:chartTrackingRefBased/>
  <w15:docId w15:val="{0FA40521-AFAC-4CAC-9926-5FBD7188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2023-09-29T14:15:00Z</dcterms:created>
  <dcterms:modified xsi:type="dcterms:W3CDTF">2023-10-05T07:34:00Z</dcterms:modified>
</cp:coreProperties>
</file>