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026B" w14:textId="751CA1A3" w:rsidR="009317EE" w:rsidRDefault="00BE261E">
      <w:r>
        <w:t>각 사업연도 과세표준 금액 × 법인세법 §55①의 세율 － 각 사업연도 과세표준 금액 × 9％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1E"/>
    <w:rsid w:val="009317EE"/>
    <w:rsid w:val="00B0580C"/>
    <w:rsid w:val="00B57DAA"/>
    <w:rsid w:val="00BE261E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9A9C"/>
  <w15:chartTrackingRefBased/>
  <w15:docId w15:val="{58333CEE-2774-4FD6-803D-708E0122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2023-09-29T14:26:00Z</dcterms:created>
  <dcterms:modified xsi:type="dcterms:W3CDTF">2023-09-29T14:26:00Z</dcterms:modified>
</cp:coreProperties>
</file>