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E3AB" w14:textId="2D0BC8D2" w:rsidR="009317EE" w:rsidRDefault="0097205B">
      <w:r>
        <w:t xml:space="preserve">㉠ </w:t>
      </w:r>
      <w:proofErr w:type="spellStart"/>
      <w:r>
        <w:t>분할신설법인등이</w:t>
      </w:r>
      <w:proofErr w:type="spellEnd"/>
      <w:r>
        <w:t xml:space="preserve"> 분할(분할합병)로 인하여 분할법인의 주주에 지급한 </w:t>
      </w:r>
      <w:proofErr w:type="spellStart"/>
      <w:r>
        <w:t>분할신설법인등의</w:t>
      </w:r>
      <w:proofErr w:type="spellEnd"/>
      <w:r>
        <w:t xml:space="preserve"> 주식(분할합병의 경우에는 분할등기일 현재 분할합병의 상대방 법인의 발행주식총수 또는 출자총액을 소유하고 있는 내국법인의 주식을 포함) 가액 및 금전이나 그 밖의 재산가액의 합계액 - 다만, 분할합병의 경우 </w:t>
      </w:r>
      <w:proofErr w:type="spellStart"/>
      <w:r>
        <w:t>분할합병포합주식이</w:t>
      </w:r>
      <w:proofErr w:type="spellEnd"/>
      <w:r>
        <w:t xml:space="preserve"> 있는 경우에는 그 주식에 대하여 분할합병교부주식을 교부하지 아니하더라도 그 지분 비율에 따라 교부한 것으로 보아 계산 ㉡ </w:t>
      </w:r>
      <w:proofErr w:type="spellStart"/>
      <w:r>
        <w:t>분할신설법인등이</w:t>
      </w:r>
      <w:proofErr w:type="spellEnd"/>
      <w:r>
        <w:t xml:space="preserve"> 납부하는 분할법인의 법인세 및 그 법인세(감면세액 포함)에 부과되는 국세와 지방세법§88②에 따른 법인지방소득세의 합계액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5B"/>
    <w:rsid w:val="009317EE"/>
    <w:rsid w:val="0097205B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A92E"/>
  <w15:chartTrackingRefBased/>
  <w15:docId w15:val="{DC50097E-91B2-4394-BDA3-CF20957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2023-09-30T13:59:00Z</dcterms:created>
  <dcterms:modified xsi:type="dcterms:W3CDTF">2023-09-30T13:59:00Z</dcterms:modified>
</cp:coreProperties>
</file>