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3B29" w14:textId="611E6453" w:rsidR="00FF54E6" w:rsidRPr="00B249A3" w:rsidRDefault="00B249A3" w:rsidP="00B249A3">
      <w:r>
        <w:t xml:space="preserve">■ 국제조세조정에 관한 법률 시행규칙 [별지 제16호서식(갑)] (3쪽) 마-(1). 사업연도 중 증자 또는 기존주식 등 취득 명세 </w:t>
      </w:r>
      <w:r w:rsidR="00452595">
        <w:rPr>
          <w:rFonts w:ascii="맑은 고딕" w:eastAsia="맑은 고딕" w:hAnsi="맑은 고딕" w:cs="맑은 고딕"/>
        </w:rPr>
        <w:fldChar w:fldCharType="begin"/>
      </w:r>
      <w:r w:rsidR="00452595">
        <w:rPr>
          <w:rFonts w:ascii="맑은 고딕" w:eastAsia="맑은 고딕" w:hAnsi="맑은 고딕" w:cs="맑은 고딕"/>
        </w:rPr>
        <w:instrText xml:space="preserve"> </w:instrText>
      </w:r>
      <w:r w:rsidR="00452595">
        <w:rPr>
          <w:rFonts w:ascii="맑은 고딕" w:eastAsia="맑은 고딕" w:hAnsi="맑은 고딕" w:cs="맑은 고딕" w:hint="eastAsia"/>
        </w:rPr>
        <w:instrText>eq \o\ac(</w:instrText>
      </w:r>
      <w:r w:rsidR="00452595" w:rsidRPr="003D5CD0">
        <w:rPr>
          <w:rFonts w:ascii="맑은 고딕" w:eastAsia="맑은 고딕" w:hAnsi="맑은 고딕" w:cs="맑은 고딕" w:hint="eastAsia"/>
          <w:position w:val="-2"/>
          <w:sz w:val="30"/>
        </w:rPr>
        <w:instrText>○</w:instrText>
      </w:r>
      <w:r w:rsidR="00452595">
        <w:rPr>
          <w:rFonts w:ascii="맑은 고딕" w:eastAsia="맑은 고딕" w:hAnsi="맑은 고딕" w:cs="맑은 고딕" w:hint="eastAsia"/>
        </w:rPr>
        <w:instrText>,50)</w:instrText>
      </w:r>
      <w:r w:rsidR="00452595">
        <w:rPr>
          <w:rFonts w:ascii="맑은 고딕" w:eastAsia="맑은 고딕" w:hAnsi="맑은 고딕" w:cs="맑은 고딕"/>
        </w:rPr>
        <w:fldChar w:fldCharType="end"/>
      </w:r>
      <w:r>
        <w:t xml:space="preserve"> 취득(증자)일 </w:t>
      </w:r>
      <w:r w:rsidR="0003367A">
        <w:rPr>
          <w:rFonts w:ascii="맑은 고딕" w:eastAsia="맑은 고딕" w:hAnsi="맑은 고딕" w:cs="맑은 고딕"/>
        </w:rPr>
        <w:fldChar w:fldCharType="begin"/>
      </w:r>
      <w:r w:rsidR="0003367A">
        <w:rPr>
          <w:rFonts w:ascii="맑은 고딕" w:eastAsia="맑은 고딕" w:hAnsi="맑은 고딕" w:cs="맑은 고딕"/>
        </w:rPr>
        <w:instrText xml:space="preserve"> </w:instrText>
      </w:r>
      <w:r w:rsidR="0003367A">
        <w:rPr>
          <w:rFonts w:ascii="맑은 고딕" w:eastAsia="맑은 고딕" w:hAnsi="맑은 고딕" w:cs="맑은 고딕" w:hint="eastAsia"/>
        </w:rPr>
        <w:instrText>eq \o\ac(</w:instrText>
      </w:r>
      <w:r w:rsidR="0003367A" w:rsidRPr="003D5CD0">
        <w:rPr>
          <w:rFonts w:ascii="맑은 고딕" w:eastAsia="맑은 고딕" w:hAnsi="맑은 고딕" w:cs="맑은 고딕" w:hint="eastAsia"/>
          <w:position w:val="-2"/>
          <w:sz w:val="30"/>
        </w:rPr>
        <w:instrText>○</w:instrText>
      </w:r>
      <w:r w:rsidR="0003367A">
        <w:rPr>
          <w:rFonts w:ascii="맑은 고딕" w:eastAsia="맑은 고딕" w:hAnsi="맑은 고딕" w:cs="맑은 고딕" w:hint="eastAsia"/>
        </w:rPr>
        <w:instrText>,51)</w:instrText>
      </w:r>
      <w:r w:rsidR="0003367A">
        <w:rPr>
          <w:rFonts w:ascii="맑은 고딕" w:eastAsia="맑은 고딕" w:hAnsi="맑은 고딕" w:cs="맑은 고딕"/>
        </w:rPr>
        <w:fldChar w:fldCharType="end"/>
      </w:r>
      <w:r>
        <w:t xml:space="preserve"> 취득(증자)방법 </w:t>
      </w:r>
      <w:r w:rsidR="008566A2">
        <w:rPr>
          <w:rFonts w:ascii="맑은 고딕" w:eastAsia="맑은 고딕" w:hAnsi="맑은 고딕" w:cs="맑은 고딕"/>
        </w:rPr>
        <w:fldChar w:fldCharType="begin"/>
      </w:r>
      <w:r w:rsidR="008566A2">
        <w:rPr>
          <w:rFonts w:ascii="맑은 고딕" w:eastAsia="맑은 고딕" w:hAnsi="맑은 고딕" w:cs="맑은 고딕"/>
        </w:rPr>
        <w:instrText xml:space="preserve"> </w:instrText>
      </w:r>
      <w:r w:rsidR="008566A2">
        <w:rPr>
          <w:rFonts w:ascii="맑은 고딕" w:eastAsia="맑은 고딕" w:hAnsi="맑은 고딕" w:cs="맑은 고딕" w:hint="eastAsia"/>
        </w:rPr>
        <w:instrText>eq \o\ac(</w:instrText>
      </w:r>
      <w:r w:rsidR="008566A2" w:rsidRPr="003D5CD0">
        <w:rPr>
          <w:rFonts w:ascii="맑은 고딕" w:eastAsia="맑은 고딕" w:hAnsi="맑은 고딕" w:cs="맑은 고딕" w:hint="eastAsia"/>
          <w:position w:val="-2"/>
          <w:sz w:val="30"/>
        </w:rPr>
        <w:instrText>○</w:instrText>
      </w:r>
      <w:r w:rsidR="008566A2">
        <w:rPr>
          <w:rFonts w:ascii="맑은 고딕" w:eastAsia="맑은 고딕" w:hAnsi="맑은 고딕" w:cs="맑은 고딕" w:hint="eastAsia"/>
        </w:rPr>
        <w:instrText>,52)</w:instrText>
      </w:r>
      <w:r w:rsidR="008566A2">
        <w:rPr>
          <w:rFonts w:ascii="맑은 고딕" w:eastAsia="맑은 고딕" w:hAnsi="맑은 고딕" w:cs="맑은 고딕"/>
        </w:rPr>
        <w:fldChar w:fldCharType="end"/>
      </w:r>
      <w:r>
        <w:t xml:space="preserve"> 취득(증자) 수량(지분율) </w:t>
      </w:r>
      <w:r w:rsidR="00556558">
        <w:rPr>
          <w:rFonts w:ascii="맑은 고딕" w:eastAsia="맑은 고딕" w:hAnsi="맑은 고딕" w:cs="맑은 고딕"/>
        </w:rPr>
        <w:fldChar w:fldCharType="begin"/>
      </w:r>
      <w:r w:rsidR="00556558">
        <w:rPr>
          <w:rFonts w:ascii="맑은 고딕" w:eastAsia="맑은 고딕" w:hAnsi="맑은 고딕" w:cs="맑은 고딕"/>
        </w:rPr>
        <w:instrText xml:space="preserve"> </w:instrText>
      </w:r>
      <w:r w:rsidR="00556558">
        <w:rPr>
          <w:rFonts w:ascii="맑은 고딕" w:eastAsia="맑은 고딕" w:hAnsi="맑은 고딕" w:cs="맑은 고딕" w:hint="eastAsia"/>
        </w:rPr>
        <w:instrText>eq \o\ac(</w:instrText>
      </w:r>
      <w:r w:rsidR="00556558" w:rsidRPr="003D5CD0">
        <w:rPr>
          <w:rFonts w:ascii="맑은 고딕" w:eastAsia="맑은 고딕" w:hAnsi="맑은 고딕" w:cs="맑은 고딕" w:hint="eastAsia"/>
          <w:position w:val="-4"/>
          <w:sz w:val="30"/>
        </w:rPr>
        <w:instrText>○</w:instrText>
      </w:r>
      <w:r w:rsidR="00556558">
        <w:rPr>
          <w:rFonts w:ascii="맑은 고딕" w:eastAsia="맑은 고딕" w:hAnsi="맑은 고딕" w:cs="맑은 고딕" w:hint="eastAsia"/>
        </w:rPr>
        <w:instrText>,53)</w:instrText>
      </w:r>
      <w:r w:rsidR="00556558">
        <w:rPr>
          <w:rFonts w:ascii="맑은 고딕" w:eastAsia="맑은 고딕" w:hAnsi="맑은 고딕" w:cs="맑은 고딕"/>
        </w:rPr>
        <w:fldChar w:fldCharType="end"/>
      </w:r>
      <w:r>
        <w:t xml:space="preserve"> 취득(증자) 가액 양도인 </w:t>
      </w:r>
      <w:r w:rsidR="00D33E36">
        <w:rPr>
          <w:rFonts w:ascii="맑은 고딕" w:eastAsia="맑은 고딕" w:hAnsi="맑은 고딕" w:cs="맑은 고딕"/>
        </w:rPr>
        <w:fldChar w:fldCharType="begin"/>
      </w:r>
      <w:r w:rsidR="00D33E36">
        <w:rPr>
          <w:rFonts w:ascii="맑은 고딕" w:eastAsia="맑은 고딕" w:hAnsi="맑은 고딕" w:cs="맑은 고딕"/>
        </w:rPr>
        <w:instrText xml:space="preserve"> </w:instrText>
      </w:r>
      <w:r w:rsidR="00D33E36">
        <w:rPr>
          <w:rFonts w:ascii="맑은 고딕" w:eastAsia="맑은 고딕" w:hAnsi="맑은 고딕" w:cs="맑은 고딕" w:hint="eastAsia"/>
        </w:rPr>
        <w:instrText>eq \o\ac(</w:instrText>
      </w:r>
      <w:r w:rsidR="00D33E36" w:rsidRPr="003D5CD0">
        <w:rPr>
          <w:rFonts w:ascii="맑은 고딕" w:eastAsia="맑은 고딕" w:hAnsi="맑은 고딕" w:cs="맑은 고딕" w:hint="eastAsia"/>
          <w:position w:val="-2"/>
          <w:sz w:val="30"/>
        </w:rPr>
        <w:instrText>○</w:instrText>
      </w:r>
      <w:r w:rsidR="00D33E36">
        <w:rPr>
          <w:rFonts w:ascii="맑은 고딕" w:eastAsia="맑은 고딕" w:hAnsi="맑은 고딕" w:cs="맑은 고딕" w:hint="eastAsia"/>
        </w:rPr>
        <w:instrText>,54)</w:instrText>
      </w:r>
      <w:r w:rsidR="00D33E36">
        <w:rPr>
          <w:rFonts w:ascii="맑은 고딕" w:eastAsia="맑은 고딕" w:hAnsi="맑은 고딕" w:cs="맑은 고딕"/>
        </w:rPr>
        <w:fldChar w:fldCharType="end"/>
      </w:r>
      <w:r>
        <w:t xml:space="preserve"> 성명(법인명) </w:t>
      </w:r>
      <w:r w:rsidR="00A80801">
        <w:rPr>
          <w:rFonts w:ascii="맑은 고딕" w:eastAsia="맑은 고딕" w:hAnsi="맑은 고딕" w:cs="맑은 고딕"/>
        </w:rPr>
        <w:fldChar w:fldCharType="begin"/>
      </w:r>
      <w:r w:rsidR="00A80801">
        <w:rPr>
          <w:rFonts w:ascii="맑은 고딕" w:eastAsia="맑은 고딕" w:hAnsi="맑은 고딕" w:cs="맑은 고딕"/>
        </w:rPr>
        <w:instrText xml:space="preserve"> </w:instrText>
      </w:r>
      <w:r w:rsidR="00A80801">
        <w:rPr>
          <w:rFonts w:ascii="맑은 고딕" w:eastAsia="맑은 고딕" w:hAnsi="맑은 고딕" w:cs="맑은 고딕" w:hint="eastAsia"/>
        </w:rPr>
        <w:instrText>eq \o\ac(</w:instrText>
      </w:r>
      <w:r w:rsidR="00A80801" w:rsidRPr="003D5CD0">
        <w:rPr>
          <w:rFonts w:ascii="맑은 고딕" w:eastAsia="맑은 고딕" w:hAnsi="맑은 고딕" w:cs="맑은 고딕" w:hint="eastAsia"/>
          <w:position w:val="-2"/>
          <w:sz w:val="30"/>
        </w:rPr>
        <w:instrText>○</w:instrText>
      </w:r>
      <w:r w:rsidR="00A80801">
        <w:rPr>
          <w:rFonts w:ascii="맑은 고딕" w:eastAsia="맑은 고딕" w:hAnsi="맑은 고딕" w:cs="맑은 고딕" w:hint="eastAsia"/>
        </w:rPr>
        <w:instrText>,55)</w:instrText>
      </w:r>
      <w:r w:rsidR="00A80801">
        <w:rPr>
          <w:rFonts w:ascii="맑은 고딕" w:eastAsia="맑은 고딕" w:hAnsi="맑은 고딕" w:cs="맑은 고딕"/>
        </w:rPr>
        <w:fldChar w:fldCharType="end"/>
      </w:r>
      <w:r>
        <w:t xml:space="preserve"> 소재 국가 </w:t>
      </w:r>
      <w:r w:rsidR="002365FD">
        <w:rPr>
          <w:rFonts w:ascii="맑은 고딕" w:eastAsia="맑은 고딕" w:hAnsi="맑은 고딕" w:cs="맑은 고딕"/>
        </w:rPr>
        <w:fldChar w:fldCharType="begin"/>
      </w:r>
      <w:r w:rsidR="002365FD">
        <w:rPr>
          <w:rFonts w:ascii="맑은 고딕" w:eastAsia="맑은 고딕" w:hAnsi="맑은 고딕" w:cs="맑은 고딕"/>
        </w:rPr>
        <w:instrText xml:space="preserve"> </w:instrText>
      </w:r>
      <w:r w:rsidR="002365FD">
        <w:rPr>
          <w:rFonts w:ascii="맑은 고딕" w:eastAsia="맑은 고딕" w:hAnsi="맑은 고딕" w:cs="맑은 고딕" w:hint="eastAsia"/>
        </w:rPr>
        <w:instrText>eq \o\ac(</w:instrText>
      </w:r>
      <w:r w:rsidR="002365FD" w:rsidRPr="003D5CD0">
        <w:rPr>
          <w:rFonts w:ascii="맑은 고딕" w:eastAsia="맑은 고딕" w:hAnsi="맑은 고딕" w:cs="맑은 고딕" w:hint="eastAsia"/>
          <w:position w:val="-2"/>
          <w:sz w:val="30"/>
        </w:rPr>
        <w:instrText>○</w:instrText>
      </w:r>
      <w:r w:rsidR="002365FD">
        <w:rPr>
          <w:rFonts w:ascii="맑은 고딕" w:eastAsia="맑은 고딕" w:hAnsi="맑은 고딕" w:cs="맑은 고딕" w:hint="eastAsia"/>
        </w:rPr>
        <w:instrText>,56)</w:instrText>
      </w:r>
      <w:r w:rsidR="002365FD">
        <w:rPr>
          <w:rFonts w:ascii="맑은 고딕" w:eastAsia="맑은 고딕" w:hAnsi="맑은 고딕" w:cs="맑은 고딕"/>
        </w:rPr>
        <w:fldChar w:fldCharType="end"/>
      </w:r>
      <w:r>
        <w:t xml:space="preserve"> 특수관계 유무 마-(2). 사업연도 중 감자 또는 보유주식 등 양도 명세 </w:t>
      </w:r>
      <w:r w:rsidR="0052123C">
        <w:rPr>
          <w:rFonts w:ascii="맑은 고딕" w:eastAsia="맑은 고딕" w:hAnsi="맑은 고딕" w:cs="맑은 고딕"/>
        </w:rPr>
        <w:fldChar w:fldCharType="begin"/>
      </w:r>
      <w:r w:rsidR="0052123C">
        <w:rPr>
          <w:rFonts w:ascii="맑은 고딕" w:eastAsia="맑은 고딕" w:hAnsi="맑은 고딕" w:cs="맑은 고딕"/>
        </w:rPr>
        <w:instrText xml:space="preserve"> </w:instrText>
      </w:r>
      <w:r w:rsidR="0052123C">
        <w:rPr>
          <w:rFonts w:ascii="맑은 고딕" w:eastAsia="맑은 고딕" w:hAnsi="맑은 고딕" w:cs="맑은 고딕" w:hint="eastAsia"/>
        </w:rPr>
        <w:instrText>eq \o\ac(</w:instrText>
      </w:r>
      <w:r w:rsidR="0052123C" w:rsidRPr="003D5CD0">
        <w:rPr>
          <w:rFonts w:ascii="맑은 고딕" w:eastAsia="맑은 고딕" w:hAnsi="맑은 고딕" w:cs="맑은 고딕" w:hint="eastAsia"/>
          <w:position w:val="-2"/>
          <w:sz w:val="30"/>
        </w:rPr>
        <w:instrText>○</w:instrText>
      </w:r>
      <w:r w:rsidR="0052123C">
        <w:rPr>
          <w:rFonts w:ascii="맑은 고딕" w:eastAsia="맑은 고딕" w:hAnsi="맑은 고딕" w:cs="맑은 고딕" w:hint="eastAsia"/>
        </w:rPr>
        <w:instrText>,57)</w:instrText>
      </w:r>
      <w:r w:rsidR="0052123C">
        <w:rPr>
          <w:rFonts w:ascii="맑은 고딕" w:eastAsia="맑은 고딕" w:hAnsi="맑은 고딕" w:cs="맑은 고딕"/>
        </w:rPr>
        <w:fldChar w:fldCharType="end"/>
      </w:r>
      <w:r>
        <w:t xml:space="preserve"> 양도(감자)일 </w:t>
      </w:r>
      <w:r w:rsidR="00092BEA">
        <w:rPr>
          <w:rFonts w:ascii="맑은 고딕" w:eastAsia="맑은 고딕" w:hAnsi="맑은 고딕" w:cs="맑은 고딕"/>
        </w:rPr>
        <w:fldChar w:fldCharType="begin"/>
      </w:r>
      <w:r w:rsidR="00092BEA">
        <w:rPr>
          <w:rFonts w:ascii="맑은 고딕" w:eastAsia="맑은 고딕" w:hAnsi="맑은 고딕" w:cs="맑은 고딕"/>
        </w:rPr>
        <w:instrText xml:space="preserve"> </w:instrText>
      </w:r>
      <w:r w:rsidR="00092BEA">
        <w:rPr>
          <w:rFonts w:ascii="맑은 고딕" w:eastAsia="맑은 고딕" w:hAnsi="맑은 고딕" w:cs="맑은 고딕" w:hint="eastAsia"/>
        </w:rPr>
        <w:instrText>eq \o\ac(</w:instrText>
      </w:r>
      <w:r w:rsidR="00092BEA" w:rsidRPr="003D5CD0">
        <w:rPr>
          <w:rFonts w:ascii="맑은 고딕" w:eastAsia="맑은 고딕" w:hAnsi="맑은 고딕" w:cs="맑은 고딕" w:hint="eastAsia"/>
          <w:position w:val="-2"/>
          <w:sz w:val="30"/>
        </w:rPr>
        <w:instrText>○</w:instrText>
      </w:r>
      <w:r w:rsidR="00092BEA">
        <w:rPr>
          <w:rFonts w:ascii="맑은 고딕" w:eastAsia="맑은 고딕" w:hAnsi="맑은 고딕" w:cs="맑은 고딕" w:hint="eastAsia"/>
        </w:rPr>
        <w:instrText>,58)</w:instrText>
      </w:r>
      <w:r w:rsidR="00092BEA">
        <w:rPr>
          <w:rFonts w:ascii="맑은 고딕" w:eastAsia="맑은 고딕" w:hAnsi="맑은 고딕" w:cs="맑은 고딕"/>
        </w:rPr>
        <w:fldChar w:fldCharType="end"/>
      </w:r>
      <w:r>
        <w:t xml:space="preserve"> 양도(감자)방법 </w:t>
      </w:r>
      <w:r w:rsidR="00041D58">
        <w:rPr>
          <w:rFonts w:ascii="맑은 고딕" w:eastAsia="맑은 고딕" w:hAnsi="맑은 고딕" w:cs="맑은 고딕"/>
        </w:rPr>
        <w:fldChar w:fldCharType="begin"/>
      </w:r>
      <w:r w:rsidR="00041D58">
        <w:rPr>
          <w:rFonts w:ascii="맑은 고딕" w:eastAsia="맑은 고딕" w:hAnsi="맑은 고딕" w:cs="맑은 고딕"/>
        </w:rPr>
        <w:instrText xml:space="preserve"> </w:instrText>
      </w:r>
      <w:r w:rsidR="00041D58">
        <w:rPr>
          <w:rFonts w:ascii="맑은 고딕" w:eastAsia="맑은 고딕" w:hAnsi="맑은 고딕" w:cs="맑은 고딕" w:hint="eastAsia"/>
        </w:rPr>
        <w:instrText>eq \o\ac(</w:instrText>
      </w:r>
      <w:r w:rsidR="00041D58" w:rsidRPr="003D5CD0">
        <w:rPr>
          <w:rFonts w:ascii="맑은 고딕" w:eastAsia="맑은 고딕" w:hAnsi="맑은 고딕" w:cs="맑은 고딕" w:hint="eastAsia"/>
          <w:position w:val="-2"/>
          <w:sz w:val="30"/>
        </w:rPr>
        <w:instrText>○</w:instrText>
      </w:r>
      <w:r w:rsidR="00041D58">
        <w:rPr>
          <w:rFonts w:ascii="맑은 고딕" w:eastAsia="맑은 고딕" w:hAnsi="맑은 고딕" w:cs="맑은 고딕" w:hint="eastAsia"/>
        </w:rPr>
        <w:instrText>,59)</w:instrText>
      </w:r>
      <w:r w:rsidR="00041D58">
        <w:rPr>
          <w:rFonts w:ascii="맑은 고딕" w:eastAsia="맑은 고딕" w:hAnsi="맑은 고딕" w:cs="맑은 고딕"/>
        </w:rPr>
        <w:fldChar w:fldCharType="end"/>
      </w:r>
      <w:r>
        <w:t xml:space="preserve"> 양도(감자) 수량(지분율) </w:t>
      </w:r>
      <w:r w:rsidR="006007C4">
        <w:rPr>
          <w:rFonts w:ascii="맑은 고딕" w:eastAsia="맑은 고딕" w:hAnsi="맑은 고딕" w:cs="맑은 고딕"/>
        </w:rPr>
        <w:fldChar w:fldCharType="begin"/>
      </w:r>
      <w:r w:rsidR="006007C4">
        <w:rPr>
          <w:rFonts w:ascii="맑은 고딕" w:eastAsia="맑은 고딕" w:hAnsi="맑은 고딕" w:cs="맑은 고딕"/>
        </w:rPr>
        <w:instrText xml:space="preserve"> </w:instrText>
      </w:r>
      <w:r w:rsidR="006007C4">
        <w:rPr>
          <w:rFonts w:ascii="맑은 고딕" w:eastAsia="맑은 고딕" w:hAnsi="맑은 고딕" w:cs="맑은 고딕" w:hint="eastAsia"/>
        </w:rPr>
        <w:instrText>eq \o\ac(</w:instrText>
      </w:r>
      <w:r w:rsidR="006007C4" w:rsidRPr="003D5CD0">
        <w:rPr>
          <w:rFonts w:ascii="맑은 고딕" w:eastAsia="맑은 고딕" w:hAnsi="맑은 고딕" w:cs="맑은 고딕" w:hint="eastAsia"/>
          <w:position w:val="-2"/>
          <w:sz w:val="30"/>
        </w:rPr>
        <w:instrText>○</w:instrText>
      </w:r>
      <w:r w:rsidR="006007C4">
        <w:rPr>
          <w:rFonts w:ascii="맑은 고딕" w:eastAsia="맑은 고딕" w:hAnsi="맑은 고딕" w:cs="맑은 고딕" w:hint="eastAsia"/>
        </w:rPr>
        <w:instrText>,60)</w:instrText>
      </w:r>
      <w:r w:rsidR="006007C4">
        <w:rPr>
          <w:rFonts w:ascii="맑은 고딕" w:eastAsia="맑은 고딕" w:hAnsi="맑은 고딕" w:cs="맑은 고딕"/>
        </w:rPr>
        <w:fldChar w:fldCharType="end"/>
      </w:r>
      <w:r>
        <w:t xml:space="preserve"> 양도(감자) 가액 양수인 </w:t>
      </w:r>
      <w:r w:rsidR="00D72A6C">
        <w:rPr>
          <w:rFonts w:ascii="맑은 고딕" w:eastAsia="맑은 고딕" w:hAnsi="맑은 고딕" w:cs="맑은 고딕"/>
        </w:rPr>
        <w:fldChar w:fldCharType="begin"/>
      </w:r>
      <w:r w:rsidR="00D72A6C">
        <w:rPr>
          <w:rFonts w:ascii="맑은 고딕" w:eastAsia="맑은 고딕" w:hAnsi="맑은 고딕" w:cs="맑은 고딕"/>
        </w:rPr>
        <w:instrText xml:space="preserve"> </w:instrText>
      </w:r>
      <w:r w:rsidR="00D72A6C">
        <w:rPr>
          <w:rFonts w:ascii="맑은 고딕" w:eastAsia="맑은 고딕" w:hAnsi="맑은 고딕" w:cs="맑은 고딕" w:hint="eastAsia"/>
        </w:rPr>
        <w:instrText>eq \o\ac(</w:instrText>
      </w:r>
      <w:r w:rsidR="00D72A6C" w:rsidRPr="003D5CD0">
        <w:rPr>
          <w:rFonts w:ascii="맑은 고딕" w:eastAsia="맑은 고딕" w:hAnsi="맑은 고딕" w:cs="맑은 고딕" w:hint="eastAsia"/>
          <w:position w:val="-2"/>
          <w:sz w:val="30"/>
        </w:rPr>
        <w:instrText>○</w:instrText>
      </w:r>
      <w:r w:rsidR="00D72A6C">
        <w:rPr>
          <w:rFonts w:ascii="맑은 고딕" w:eastAsia="맑은 고딕" w:hAnsi="맑은 고딕" w:cs="맑은 고딕" w:hint="eastAsia"/>
        </w:rPr>
        <w:instrText>,61)</w:instrText>
      </w:r>
      <w:r w:rsidR="00D72A6C">
        <w:rPr>
          <w:rFonts w:ascii="맑은 고딕" w:eastAsia="맑은 고딕" w:hAnsi="맑은 고딕" w:cs="맑은 고딕"/>
        </w:rPr>
        <w:fldChar w:fldCharType="end"/>
      </w:r>
      <w:r>
        <w:t xml:space="preserve"> 성명(법인명) </w:t>
      </w:r>
      <w:r w:rsidR="00E02A65">
        <w:rPr>
          <w:rFonts w:ascii="맑은 고딕" w:eastAsia="맑은 고딕" w:hAnsi="맑은 고딕" w:cs="맑은 고딕"/>
        </w:rPr>
        <w:fldChar w:fldCharType="begin"/>
      </w:r>
      <w:r w:rsidR="00E02A65">
        <w:rPr>
          <w:rFonts w:ascii="맑은 고딕" w:eastAsia="맑은 고딕" w:hAnsi="맑은 고딕" w:cs="맑은 고딕"/>
        </w:rPr>
        <w:instrText xml:space="preserve"> </w:instrText>
      </w:r>
      <w:r w:rsidR="00E02A65">
        <w:rPr>
          <w:rFonts w:ascii="맑은 고딕" w:eastAsia="맑은 고딕" w:hAnsi="맑은 고딕" w:cs="맑은 고딕" w:hint="eastAsia"/>
        </w:rPr>
        <w:instrText>eq \o\ac(</w:instrText>
      </w:r>
      <w:r w:rsidR="00E02A65" w:rsidRPr="003D5CD0">
        <w:rPr>
          <w:rFonts w:ascii="맑은 고딕" w:eastAsia="맑은 고딕" w:hAnsi="맑은 고딕" w:cs="맑은 고딕" w:hint="eastAsia"/>
          <w:position w:val="-2"/>
          <w:sz w:val="30"/>
        </w:rPr>
        <w:instrText>○</w:instrText>
      </w:r>
      <w:r w:rsidR="00E02A65">
        <w:rPr>
          <w:rFonts w:ascii="맑은 고딕" w:eastAsia="맑은 고딕" w:hAnsi="맑은 고딕" w:cs="맑은 고딕" w:hint="eastAsia"/>
        </w:rPr>
        <w:instrText>,62)</w:instrText>
      </w:r>
      <w:r w:rsidR="00E02A65">
        <w:rPr>
          <w:rFonts w:ascii="맑은 고딕" w:eastAsia="맑은 고딕" w:hAnsi="맑은 고딕" w:cs="맑은 고딕"/>
        </w:rPr>
        <w:fldChar w:fldCharType="end"/>
      </w:r>
      <w:r>
        <w:t xml:space="preserve"> 소재 국가 </w:t>
      </w:r>
      <w:r w:rsidR="00813E26">
        <w:rPr>
          <w:rFonts w:ascii="맑은 고딕" w:eastAsia="맑은 고딕" w:hAnsi="맑은 고딕" w:cs="맑은 고딕"/>
        </w:rPr>
        <w:fldChar w:fldCharType="begin"/>
      </w:r>
      <w:r w:rsidR="00813E26">
        <w:rPr>
          <w:rFonts w:ascii="맑은 고딕" w:eastAsia="맑은 고딕" w:hAnsi="맑은 고딕" w:cs="맑은 고딕"/>
        </w:rPr>
        <w:instrText xml:space="preserve"> </w:instrText>
      </w:r>
      <w:r w:rsidR="00813E26">
        <w:rPr>
          <w:rFonts w:ascii="맑은 고딕" w:eastAsia="맑은 고딕" w:hAnsi="맑은 고딕" w:cs="맑은 고딕" w:hint="eastAsia"/>
        </w:rPr>
        <w:instrText>eq \o\ac(</w:instrText>
      </w:r>
      <w:r w:rsidR="00813E26" w:rsidRPr="003D5CD0">
        <w:rPr>
          <w:rFonts w:ascii="맑은 고딕" w:eastAsia="맑은 고딕" w:hAnsi="맑은 고딕" w:cs="맑은 고딕" w:hint="eastAsia"/>
          <w:position w:val="-2"/>
          <w:sz w:val="30"/>
        </w:rPr>
        <w:instrText>○</w:instrText>
      </w:r>
      <w:r w:rsidR="00813E26">
        <w:rPr>
          <w:rFonts w:ascii="맑은 고딕" w:eastAsia="맑은 고딕" w:hAnsi="맑은 고딕" w:cs="맑은 고딕" w:hint="eastAsia"/>
        </w:rPr>
        <w:instrText>,63)</w:instrText>
      </w:r>
      <w:r w:rsidR="00813E26">
        <w:rPr>
          <w:rFonts w:ascii="맑은 고딕" w:eastAsia="맑은 고딕" w:hAnsi="맑은 고딕" w:cs="맑은 고딕"/>
        </w:rPr>
        <w:fldChar w:fldCharType="end"/>
      </w:r>
      <w:r>
        <w:t xml:space="preserve"> 특수관계 유무 「국제조세조정에 관한 법률」 제16조제2항에 따라 위와 같이 국제거래 명세서를 제출합니다. 년 월 일 제 출 인 (서명 또는 인) 세무서장 귀하 210㎜×297㎜[백상지 80g/㎡(재활용품)]</w:t>
      </w:r>
    </w:p>
    <w:sectPr w:rsidR="00FF54E6" w:rsidRPr="00B249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E9BEB" w14:textId="77777777" w:rsidR="00F86D6E" w:rsidRDefault="00F86D6E" w:rsidP="0039562F">
      <w:pPr>
        <w:spacing w:after="0" w:line="240" w:lineRule="auto"/>
      </w:pPr>
      <w:r>
        <w:separator/>
      </w:r>
    </w:p>
  </w:endnote>
  <w:endnote w:type="continuationSeparator" w:id="0">
    <w:p w14:paraId="2EBA7DA7" w14:textId="77777777" w:rsidR="00F86D6E" w:rsidRDefault="00F86D6E" w:rsidP="00395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F6763" w14:textId="77777777" w:rsidR="00F86D6E" w:rsidRDefault="00F86D6E" w:rsidP="0039562F">
      <w:pPr>
        <w:spacing w:after="0" w:line="240" w:lineRule="auto"/>
      </w:pPr>
      <w:r>
        <w:separator/>
      </w:r>
    </w:p>
  </w:footnote>
  <w:footnote w:type="continuationSeparator" w:id="0">
    <w:p w14:paraId="5627B3C4" w14:textId="77777777" w:rsidR="00F86D6E" w:rsidRDefault="00F86D6E" w:rsidP="003956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E6"/>
    <w:rsid w:val="00032AEE"/>
    <w:rsid w:val="0003367A"/>
    <w:rsid w:val="00041D58"/>
    <w:rsid w:val="00076907"/>
    <w:rsid w:val="00092BEA"/>
    <w:rsid w:val="000A51C6"/>
    <w:rsid w:val="000B7D8D"/>
    <w:rsid w:val="001B6CF4"/>
    <w:rsid w:val="001C1A07"/>
    <w:rsid w:val="002365FD"/>
    <w:rsid w:val="0039562F"/>
    <w:rsid w:val="003C751B"/>
    <w:rsid w:val="00452595"/>
    <w:rsid w:val="00470E88"/>
    <w:rsid w:val="00496BB9"/>
    <w:rsid w:val="00501EB4"/>
    <w:rsid w:val="0052123C"/>
    <w:rsid w:val="00531DC0"/>
    <w:rsid w:val="0053331E"/>
    <w:rsid w:val="00556558"/>
    <w:rsid w:val="00597CAF"/>
    <w:rsid w:val="005A5953"/>
    <w:rsid w:val="006007C4"/>
    <w:rsid w:val="00631C23"/>
    <w:rsid w:val="00670481"/>
    <w:rsid w:val="00813E26"/>
    <w:rsid w:val="008566A2"/>
    <w:rsid w:val="00857DA0"/>
    <w:rsid w:val="008B0ED9"/>
    <w:rsid w:val="008E3361"/>
    <w:rsid w:val="009242BA"/>
    <w:rsid w:val="00A72E71"/>
    <w:rsid w:val="00A80801"/>
    <w:rsid w:val="00A86A10"/>
    <w:rsid w:val="00B249A3"/>
    <w:rsid w:val="00C24F17"/>
    <w:rsid w:val="00C90732"/>
    <w:rsid w:val="00CF744C"/>
    <w:rsid w:val="00D33E36"/>
    <w:rsid w:val="00D72A6C"/>
    <w:rsid w:val="00E02A65"/>
    <w:rsid w:val="00E60AC1"/>
    <w:rsid w:val="00F86D6E"/>
    <w:rsid w:val="00FE125C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3EEF8"/>
  <w15:chartTrackingRefBased/>
  <w15:docId w15:val="{445FDD24-A42F-4A66-BC7C-6FE12B1E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6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9562F"/>
  </w:style>
  <w:style w:type="paragraph" w:styleId="a4">
    <w:name w:val="footer"/>
    <w:basedOn w:val="a"/>
    <w:link w:val="Char0"/>
    <w:uiPriority w:val="99"/>
    <w:unhideWhenUsed/>
    <w:rsid w:val="003956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95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16</cp:revision>
  <dcterms:created xsi:type="dcterms:W3CDTF">2023-09-30T18:34:00Z</dcterms:created>
  <dcterms:modified xsi:type="dcterms:W3CDTF">2023-10-06T00:52:00Z</dcterms:modified>
</cp:coreProperties>
</file>